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F737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Контрольно-счетная комиссия</w:t>
      </w:r>
    </w:p>
    <w:p w14:paraId="0657BBC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Богородского муниципального округа Нижегородской области</w:t>
      </w:r>
    </w:p>
    <w:p w14:paraId="758439EF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8FF54AB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Заключение</w:t>
      </w:r>
    </w:p>
    <w:p w14:paraId="6697A85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проект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«О бюджете Богородского муниципального округа Нижегородской области на 2026 год и на плановый период 2027 и 2028 годов»»</w:t>
      </w:r>
    </w:p>
    <w:p w14:paraId="57F49775">
      <w:pPr>
        <w:shd w:val="clear" w:color="auto" w:fill="FFFFFF"/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Контрольно-счетной комиссией Богородского муниципального округа в соответствии с Бюджетным кодексом РФ, Федеральным законом </w:t>
      </w:r>
      <w:r>
        <w:rPr>
          <w:rFonts w:ascii="Times New Roman" w:hAnsi="Times New Roman"/>
          <w:color w:val="000000"/>
          <w:sz w:val="26"/>
          <w:szCs w:val="26"/>
        </w:rPr>
        <w:t xml:space="preserve">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>
        <w:rPr>
          <w:rFonts w:ascii="Times New Roman" w:hAnsi="Times New Roman"/>
          <w:sz w:val="26"/>
          <w:szCs w:val="26"/>
        </w:rPr>
        <w:t>решением Совета депутатов Богородского муниципального 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 xml:space="preserve"> от 09.10.2020 № 26 «</w:t>
      </w:r>
      <w:r>
        <w:rPr>
          <w:rFonts w:ascii="Times New Roman" w:hAnsi="Times New Roman"/>
          <w:bCs/>
          <w:sz w:val="26"/>
          <w:szCs w:val="26"/>
        </w:rPr>
        <w:t>Об утверждении Положения о бюджетном процессе в Богородском муниципальном округе Нижегородской области»,</w:t>
      </w:r>
      <w:r>
        <w:rPr>
          <w:rFonts w:ascii="Times New Roman" w:hAnsi="Times New Roman"/>
          <w:sz w:val="26"/>
          <w:szCs w:val="26"/>
        </w:rPr>
        <w:t xml:space="preserve"> Положением о контрольно-счетной комиссии Богородского муниципального округа Нижегородской области, утвержденным решением Совета депутатов Богородского муниципального округа Нижегородской области от 16.12.2021 № 203 проведена экспертиза проекта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»» (далее – проект решения).</w:t>
      </w:r>
    </w:p>
    <w:p w14:paraId="2A9E3437">
      <w:pPr>
        <w:pStyle w:val="188"/>
        <w:numPr>
          <w:ilvl w:val="0"/>
          <w:numId w:val="1"/>
        </w:numPr>
        <w:shd w:val="clear" w:color="auto" w:fill="FFFFFF"/>
        <w:spacing w:line="240" w:lineRule="auto"/>
        <w:ind w:left="0"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Изменения основных характеристик бюджета Богородского муниципального округа Нижегородской области на 2026 год и на плановый период 2027 и 2028 годов.</w:t>
      </w:r>
    </w:p>
    <w:p w14:paraId="31120EEE">
      <w:pPr>
        <w:pStyle w:val="188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Согласно материалам к проекту решения в основные характеристики местного бюджета на 2026 год и плановый период 2027 и 2028 годов, утвержденные решением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 (далее – решение от 11.12.2025 № 148), предлагается внести следующие изменения:</w:t>
      </w:r>
    </w:p>
    <w:p w14:paraId="1ADC1EB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тыс. рублей</w:t>
      </w:r>
    </w:p>
    <w:tbl>
      <w:tblPr>
        <w:tblStyle w:val="2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2268"/>
        <w:gridCol w:w="1376"/>
        <w:gridCol w:w="1884"/>
        <w:gridCol w:w="1145"/>
      </w:tblGrid>
      <w:tr w14:paraId="004CF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11B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14F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25.03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A3F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248B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20D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 w14:paraId="59725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F15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</w:tr>
      <w:tr w14:paraId="65293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0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3F26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F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737 984,74 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03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740 465,96 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89AF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2 481,22 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ECE40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</w:tr>
      <w:tr w14:paraId="2E4A1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813D7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1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990 189,96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06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016 179,98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E9A3D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25 990,02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D517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0,7 </w:t>
            </w:r>
          </w:p>
        </w:tc>
      </w:tr>
      <w:tr w14:paraId="0A055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9681A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-252 205,22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084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-275 714,02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57310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-23 508,80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A5449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9,3 </w:t>
            </w:r>
          </w:p>
        </w:tc>
      </w:tr>
      <w:tr w14:paraId="242AE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B323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 год</w:t>
            </w:r>
          </w:p>
        </w:tc>
      </w:tr>
      <w:tr w14:paraId="404CC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B0716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8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373 706,02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70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373 706,02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9CA17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9724D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6FE8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ED5E9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7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353 706,02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E9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353 706,02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C4F76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14F65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29EF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2EB09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(+), профицит (-)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DEA7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71F2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D8C2C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D2EA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B2EB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17E7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 год</w:t>
            </w:r>
          </w:p>
        </w:tc>
      </w:tr>
      <w:tr w14:paraId="6BB40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8BA87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5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517 050,99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34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517 050,99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76EF4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AB73A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2DD9F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FBD83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D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497 050,99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06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497 050,99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DF11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C1378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42F63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A1E7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79DD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E888A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DBB1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5C99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</w:tbl>
    <w:p w14:paraId="1A419A9C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14:paraId="31104174">
      <w:pPr>
        <w:pStyle w:val="188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360"/>
        <w:jc w:val="center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6"/>
          <w:szCs w:val="26"/>
        </w:rPr>
        <w:t>Основные изменения доходов бюджета Богородского муниципального округа Нижегородской области.</w:t>
      </w:r>
    </w:p>
    <w:p w14:paraId="7C1665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18"/>
          <w:szCs w:val="18"/>
        </w:rPr>
        <w:t>тыс. рублей</w:t>
      </w:r>
    </w:p>
    <w:tbl>
      <w:tblPr>
        <w:tblStyle w:val="3"/>
        <w:tblpPr w:leftFromText="180" w:rightFromText="180" w:vertAnchor="text" w:horzAnchor="page" w:tblpX="1692" w:tblpY="24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0"/>
        <w:gridCol w:w="2507"/>
        <w:gridCol w:w="1393"/>
        <w:gridCol w:w="1731"/>
        <w:gridCol w:w="1172"/>
      </w:tblGrid>
      <w:tr w14:paraId="6FFDA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500" w:type="dxa"/>
            <w:noWrap/>
          </w:tcPr>
          <w:p w14:paraId="26B43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07" w:type="dxa"/>
            <w:noWrap/>
          </w:tcPr>
          <w:p w14:paraId="5F4FD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25.03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93" w:type="dxa"/>
            <w:noWrap/>
          </w:tcPr>
          <w:p w14:paraId="555FC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731" w:type="dxa"/>
            <w:noWrap/>
          </w:tcPr>
          <w:p w14:paraId="148B1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утверждённому решению</w:t>
            </w:r>
          </w:p>
        </w:tc>
        <w:tc>
          <w:tcPr>
            <w:tcW w:w="1172" w:type="dxa"/>
            <w:noWrap/>
          </w:tcPr>
          <w:p w14:paraId="3ECD4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 w14:paraId="3D274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500" w:type="dxa"/>
            <w:noWrap/>
          </w:tcPr>
          <w:p w14:paraId="6C4C8C13">
            <w:pPr>
              <w:pStyle w:val="18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507" w:type="dxa"/>
            <w:noWrap/>
            <w:vAlign w:val="top"/>
          </w:tcPr>
          <w:p w14:paraId="01EEC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318 308,28 </w:t>
            </w:r>
          </w:p>
        </w:tc>
        <w:tc>
          <w:tcPr>
            <w:tcW w:w="1393" w:type="dxa"/>
            <w:noWrap/>
            <w:vAlign w:val="top"/>
          </w:tcPr>
          <w:p w14:paraId="58341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318 308,28 </w:t>
            </w:r>
          </w:p>
        </w:tc>
        <w:tc>
          <w:tcPr>
            <w:tcW w:w="1731" w:type="dxa"/>
            <w:noWrap/>
            <w:vAlign w:val="top"/>
          </w:tcPr>
          <w:p w14:paraId="67530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72" w:type="dxa"/>
            <w:noWrap/>
            <w:vAlign w:val="top"/>
          </w:tcPr>
          <w:p w14:paraId="596D8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</w:tr>
      <w:tr w14:paraId="58132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  <w:noWrap/>
          </w:tcPr>
          <w:p w14:paraId="79BF0B3F">
            <w:pPr>
              <w:pStyle w:val="18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07" w:type="dxa"/>
            <w:noWrap/>
            <w:vAlign w:val="top"/>
          </w:tcPr>
          <w:p w14:paraId="793FF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419 676,46 </w:t>
            </w:r>
          </w:p>
        </w:tc>
        <w:tc>
          <w:tcPr>
            <w:tcW w:w="1393" w:type="dxa"/>
            <w:noWrap/>
            <w:vAlign w:val="top"/>
          </w:tcPr>
          <w:p w14:paraId="326B7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422 157,68 </w:t>
            </w:r>
          </w:p>
        </w:tc>
        <w:tc>
          <w:tcPr>
            <w:tcW w:w="1731" w:type="dxa"/>
            <w:noWrap/>
            <w:vAlign w:val="top"/>
          </w:tcPr>
          <w:p w14:paraId="15122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2 481,22 </w:t>
            </w:r>
          </w:p>
        </w:tc>
        <w:tc>
          <w:tcPr>
            <w:tcW w:w="1172" w:type="dxa"/>
            <w:noWrap/>
            <w:vAlign w:val="top"/>
          </w:tcPr>
          <w:p w14:paraId="4D9C7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0,10 </w:t>
            </w:r>
          </w:p>
        </w:tc>
      </w:tr>
      <w:tr w14:paraId="6FC71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dxa"/>
            <w:noWrap/>
          </w:tcPr>
          <w:p w14:paraId="4E13FD5B">
            <w:pPr>
              <w:pStyle w:val="18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2507" w:type="dxa"/>
            <w:noWrap/>
            <w:vAlign w:val="top"/>
          </w:tcPr>
          <w:p w14:paraId="31D53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737 984,74 </w:t>
            </w:r>
          </w:p>
        </w:tc>
        <w:tc>
          <w:tcPr>
            <w:tcW w:w="1393" w:type="dxa"/>
            <w:noWrap/>
            <w:vAlign w:val="top"/>
          </w:tcPr>
          <w:p w14:paraId="4FDE5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740 465,96 </w:t>
            </w:r>
          </w:p>
        </w:tc>
        <w:tc>
          <w:tcPr>
            <w:tcW w:w="1731" w:type="dxa"/>
            <w:noWrap/>
            <w:vAlign w:val="top"/>
          </w:tcPr>
          <w:p w14:paraId="01CA3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2 481,22 </w:t>
            </w:r>
          </w:p>
        </w:tc>
        <w:tc>
          <w:tcPr>
            <w:tcW w:w="1172" w:type="dxa"/>
            <w:noWrap/>
            <w:vAlign w:val="top"/>
          </w:tcPr>
          <w:p w14:paraId="02723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0,10 </w:t>
            </w:r>
          </w:p>
        </w:tc>
      </w:tr>
    </w:tbl>
    <w:p w14:paraId="7753291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Согласно пояснительной записке к проекту решения изменение доходов осуществляется за счет безвозмездных поступлений из областного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и федерального бюджетов</w:t>
      </w:r>
      <w:r>
        <w:rPr>
          <w:rFonts w:ascii="Times New Roman" w:hAnsi="Times New Roman"/>
          <w:sz w:val="26"/>
          <w:szCs w:val="26"/>
        </w:rPr>
        <w:t>.</w:t>
      </w:r>
    </w:p>
    <w:p w14:paraId="54B6233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В 2026 году доходная часть бюджета увеличивается на 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2 481,26 </w:t>
      </w:r>
      <w:r>
        <w:rPr>
          <w:rFonts w:ascii="Times New Roman" w:hAnsi="Times New Roman"/>
          <w:sz w:val="26"/>
          <w:szCs w:val="26"/>
        </w:rPr>
        <w:t xml:space="preserve">тыс. рублей за счет увеличения следующих доходов: </w:t>
      </w:r>
    </w:p>
    <w:p w14:paraId="2DC35C56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57" w:firstLineChars="253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</w:t>
      </w:r>
      <w:r>
        <w:rPr>
          <w:rFonts w:hint="default" w:ascii="Times New Roman" w:hAnsi="Times New Roman" w:cs="Times New Roman"/>
          <w:sz w:val="26"/>
          <w:szCs w:val="26"/>
        </w:rPr>
        <w:t xml:space="preserve">рочих субсидий бюджетам муниципальных округов в сумме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2 361,26 </w:t>
      </w:r>
      <w:r>
        <w:rPr>
          <w:rFonts w:hint="default" w:ascii="Times New Roman" w:hAnsi="Times New Roman" w:cs="Times New Roman"/>
          <w:sz w:val="26"/>
          <w:szCs w:val="26"/>
        </w:rPr>
        <w:t>тыс. рублей.</w:t>
      </w:r>
    </w:p>
    <w:p w14:paraId="6692FD59"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left="0" w:leftChars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Прочих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м</w:t>
      </w:r>
      <w:r>
        <w:rPr>
          <w:rFonts w:ascii="Times New Roman" w:hAnsi="Times New Roman"/>
          <w:sz w:val="26"/>
          <w:szCs w:val="26"/>
        </w:rPr>
        <w:t>ежбюджетных трансфертов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, передаваемых бюджетам муниципальных округов  </w:t>
      </w:r>
      <w:r>
        <w:rPr>
          <w:rFonts w:ascii="Times New Roman" w:hAnsi="Times New Roman"/>
          <w:sz w:val="26"/>
          <w:szCs w:val="26"/>
        </w:rPr>
        <w:t xml:space="preserve">в сумме </w:t>
      </w:r>
      <w:r>
        <w:rPr>
          <w:rFonts w:hint="default" w:ascii="Times New Roman" w:hAnsi="Times New Roman"/>
          <w:sz w:val="26"/>
          <w:szCs w:val="26"/>
          <w:lang w:val="ru-RU"/>
        </w:rPr>
        <w:t>120,00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 w14:paraId="68C0D818">
      <w:pPr>
        <w:pStyle w:val="188"/>
        <w:shd w:val="clear" w:color="auto" w:fill="FFFFFF"/>
        <w:spacing w:after="0" w:line="240" w:lineRule="auto"/>
        <w:ind w:left="660"/>
        <w:jc w:val="both"/>
        <w:rPr>
          <w:rFonts w:ascii="Times New Roman" w:hAnsi="Times New Roman"/>
          <w:sz w:val="26"/>
          <w:szCs w:val="26"/>
        </w:rPr>
      </w:pPr>
    </w:p>
    <w:p w14:paraId="5362E31F">
      <w:pPr>
        <w:pStyle w:val="188"/>
        <w:numPr>
          <w:numId w:val="0"/>
        </w:numPr>
        <w:shd w:val="clear" w:color="auto" w:fill="FFFFFF"/>
        <w:spacing w:after="0" w:line="240" w:lineRule="auto"/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У</w:t>
      </w:r>
      <w:r>
        <w:rPr>
          <w:rFonts w:ascii="Times New Roman" w:hAnsi="Times New Roman"/>
          <w:sz w:val="26"/>
          <w:szCs w:val="26"/>
        </w:rPr>
        <w:t xml:space="preserve">меньшение доходной части осуществляется в сумме </w:t>
      </w:r>
      <w:r>
        <w:rPr>
          <w:rFonts w:hint="default" w:ascii="Times New Roman" w:hAnsi="Times New Roman"/>
          <w:sz w:val="26"/>
          <w:szCs w:val="26"/>
          <w:lang w:val="ru-RU"/>
        </w:rPr>
        <w:t>0,04</w:t>
      </w:r>
      <w:r>
        <w:rPr>
          <w:rFonts w:ascii="Times New Roman" w:hAnsi="Times New Roman"/>
          <w:sz w:val="26"/>
          <w:szCs w:val="26"/>
        </w:rPr>
        <w:t xml:space="preserve"> тыс. рублей за счет сокращения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с</w:t>
      </w:r>
      <w:r>
        <w:rPr>
          <w:rFonts w:ascii="Times New Roman" w:hAnsi="Times New Roman"/>
          <w:sz w:val="26"/>
          <w:szCs w:val="26"/>
        </w:rPr>
        <w:t>убсиди</w:t>
      </w:r>
      <w:r>
        <w:rPr>
          <w:rFonts w:ascii="Times New Roman" w:hAnsi="Times New Roman"/>
          <w:sz w:val="26"/>
          <w:szCs w:val="26"/>
          <w:lang w:val="ru-RU"/>
        </w:rPr>
        <w:t>и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бюджетам муниципальных округов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на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.</w:t>
      </w:r>
    </w:p>
    <w:p w14:paraId="2C59DEAA">
      <w:pPr>
        <w:pStyle w:val="188"/>
        <w:numPr>
          <w:ilvl w:val="0"/>
          <w:numId w:val="0"/>
        </w:numPr>
        <w:shd w:val="clear" w:color="auto" w:fill="FFFFFF"/>
        <w:spacing w:after="0" w:line="240" w:lineRule="auto"/>
        <w:ind w:left="658" w:left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 w14:paraId="4FAEB891">
      <w:pPr>
        <w:pStyle w:val="188"/>
        <w:numPr>
          <w:ilvl w:val="0"/>
          <w:numId w:val="2"/>
        </w:numPr>
        <w:shd w:val="clear" w:color="auto" w:fill="FFFFFF"/>
        <w:spacing w:before="240" w:after="0" w:line="240" w:lineRule="auto"/>
        <w:ind w:left="0"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Основные изменения бюджетных ассигнований на осуществление расходов бюджета Богородского муниципального округа </w:t>
      </w:r>
    </w:p>
    <w:p w14:paraId="69391A03">
      <w:pPr>
        <w:pStyle w:val="188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Нижегородской области</w:t>
      </w:r>
    </w:p>
    <w:p w14:paraId="6CA6050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бюджетных ассигнований по разделам классификации расходов местного бюджета на 2026 год представлена в таблице.</w:t>
      </w:r>
    </w:p>
    <w:p w14:paraId="5582B91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тыс. рублей</w:t>
      </w:r>
    </w:p>
    <w:tbl>
      <w:tblPr>
        <w:tblStyle w:val="3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3"/>
        <w:gridCol w:w="2408"/>
        <w:gridCol w:w="1372"/>
        <w:gridCol w:w="1703"/>
        <w:gridCol w:w="1170"/>
      </w:tblGrid>
      <w:tr w14:paraId="65D85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  <w:vAlign w:val="center"/>
          </w:tcPr>
          <w:p w14:paraId="56D0EA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раздела классификации расходов бюджета</w:t>
            </w:r>
          </w:p>
        </w:tc>
        <w:tc>
          <w:tcPr>
            <w:tcW w:w="2408" w:type="dxa"/>
            <w:noWrap/>
            <w:vAlign w:val="center"/>
          </w:tcPr>
          <w:p w14:paraId="339F0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25.03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2" w:type="dxa"/>
            <w:noWrap/>
            <w:vAlign w:val="center"/>
          </w:tcPr>
          <w:p w14:paraId="325D9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Проект решения </w:t>
            </w:r>
          </w:p>
        </w:tc>
        <w:tc>
          <w:tcPr>
            <w:tcW w:w="1703" w:type="dxa"/>
            <w:noWrap/>
            <w:vAlign w:val="center"/>
          </w:tcPr>
          <w:p w14:paraId="513E3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Изменения к утвержденному решению </w:t>
            </w:r>
          </w:p>
        </w:tc>
        <w:tc>
          <w:tcPr>
            <w:tcW w:w="1170" w:type="dxa"/>
            <w:noWrap/>
            <w:vAlign w:val="center"/>
          </w:tcPr>
          <w:p w14:paraId="60D3A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% изменения</w:t>
            </w:r>
          </w:p>
        </w:tc>
      </w:tr>
      <w:tr w14:paraId="454BD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2D77E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Общегосударственные вопросы</w:t>
            </w:r>
          </w:p>
        </w:tc>
        <w:tc>
          <w:tcPr>
            <w:tcW w:w="2408" w:type="dxa"/>
            <w:noWrap/>
            <w:vAlign w:val="bottom"/>
          </w:tcPr>
          <w:p w14:paraId="60232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336 345,16 </w:t>
            </w:r>
          </w:p>
        </w:tc>
        <w:tc>
          <w:tcPr>
            <w:tcW w:w="1372" w:type="dxa"/>
            <w:noWrap/>
            <w:vAlign w:val="bottom"/>
          </w:tcPr>
          <w:p w14:paraId="3E00A8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018,32</w:t>
            </w:r>
          </w:p>
        </w:tc>
        <w:tc>
          <w:tcPr>
            <w:tcW w:w="1703" w:type="dxa"/>
            <w:noWrap/>
            <w:vAlign w:val="bottom"/>
          </w:tcPr>
          <w:p w14:paraId="7018C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2 673,16 </w:t>
            </w:r>
          </w:p>
        </w:tc>
        <w:tc>
          <w:tcPr>
            <w:tcW w:w="1170" w:type="dxa"/>
            <w:noWrap/>
            <w:vAlign w:val="bottom"/>
          </w:tcPr>
          <w:p w14:paraId="36B44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0,8 </w:t>
            </w:r>
          </w:p>
        </w:tc>
      </w:tr>
      <w:tr w14:paraId="24124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6F479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оборона</w:t>
            </w:r>
          </w:p>
        </w:tc>
        <w:tc>
          <w:tcPr>
            <w:tcW w:w="2408" w:type="dxa"/>
            <w:noWrap/>
            <w:vAlign w:val="bottom"/>
          </w:tcPr>
          <w:p w14:paraId="6DFF5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2 907,80 </w:t>
            </w:r>
          </w:p>
        </w:tc>
        <w:tc>
          <w:tcPr>
            <w:tcW w:w="1372" w:type="dxa"/>
            <w:noWrap/>
            <w:vAlign w:val="bottom"/>
          </w:tcPr>
          <w:p w14:paraId="039D7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907,8</w:t>
            </w:r>
          </w:p>
        </w:tc>
        <w:tc>
          <w:tcPr>
            <w:tcW w:w="1703" w:type="dxa"/>
            <w:noWrap/>
            <w:vAlign w:val="bottom"/>
          </w:tcPr>
          <w:p w14:paraId="5FDA6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70" w:type="dxa"/>
            <w:noWrap/>
            <w:vAlign w:val="bottom"/>
          </w:tcPr>
          <w:p w14:paraId="450FC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32FAD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1539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Национальная безопасность и правоохранительная деятельность</w:t>
            </w:r>
          </w:p>
        </w:tc>
        <w:tc>
          <w:tcPr>
            <w:tcW w:w="2408" w:type="dxa"/>
            <w:noWrap/>
            <w:vAlign w:val="bottom"/>
          </w:tcPr>
          <w:p w14:paraId="311E4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70 217,96 </w:t>
            </w:r>
          </w:p>
        </w:tc>
        <w:tc>
          <w:tcPr>
            <w:tcW w:w="1372" w:type="dxa"/>
            <w:noWrap/>
            <w:vAlign w:val="bottom"/>
          </w:tcPr>
          <w:p w14:paraId="0B909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73 797,80 </w:t>
            </w:r>
          </w:p>
        </w:tc>
        <w:tc>
          <w:tcPr>
            <w:tcW w:w="1703" w:type="dxa"/>
            <w:noWrap/>
            <w:vAlign w:val="bottom"/>
          </w:tcPr>
          <w:p w14:paraId="25B12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3 579,84 </w:t>
            </w:r>
          </w:p>
        </w:tc>
        <w:tc>
          <w:tcPr>
            <w:tcW w:w="1170" w:type="dxa"/>
            <w:noWrap/>
            <w:vAlign w:val="bottom"/>
          </w:tcPr>
          <w:p w14:paraId="66A9B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5,1 </w:t>
            </w:r>
          </w:p>
        </w:tc>
      </w:tr>
      <w:tr w14:paraId="712D0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3BE64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экономика</w:t>
            </w:r>
          </w:p>
        </w:tc>
        <w:tc>
          <w:tcPr>
            <w:tcW w:w="2408" w:type="dxa"/>
            <w:noWrap/>
            <w:vAlign w:val="bottom"/>
          </w:tcPr>
          <w:p w14:paraId="559A8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254 278,56 </w:t>
            </w:r>
          </w:p>
        </w:tc>
        <w:tc>
          <w:tcPr>
            <w:tcW w:w="1372" w:type="dxa"/>
            <w:noWrap/>
            <w:vAlign w:val="bottom"/>
          </w:tcPr>
          <w:p w14:paraId="5908C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255 708,32 </w:t>
            </w:r>
          </w:p>
        </w:tc>
        <w:tc>
          <w:tcPr>
            <w:tcW w:w="1703" w:type="dxa"/>
            <w:noWrap/>
            <w:vAlign w:val="bottom"/>
          </w:tcPr>
          <w:p w14:paraId="0AC7D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1 429,76 </w:t>
            </w:r>
          </w:p>
        </w:tc>
        <w:tc>
          <w:tcPr>
            <w:tcW w:w="1170" w:type="dxa"/>
            <w:noWrap/>
            <w:vAlign w:val="bottom"/>
          </w:tcPr>
          <w:p w14:paraId="4FD49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0,6 </w:t>
            </w:r>
          </w:p>
        </w:tc>
      </w:tr>
      <w:tr w14:paraId="79534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31BD8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2408" w:type="dxa"/>
            <w:noWrap/>
            <w:vAlign w:val="bottom"/>
          </w:tcPr>
          <w:p w14:paraId="091C0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828 617,94 </w:t>
            </w:r>
          </w:p>
        </w:tc>
        <w:tc>
          <w:tcPr>
            <w:tcW w:w="1372" w:type="dxa"/>
            <w:noWrap/>
            <w:vAlign w:val="bottom"/>
          </w:tcPr>
          <w:p w14:paraId="46A5E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841 226,46 </w:t>
            </w:r>
          </w:p>
        </w:tc>
        <w:tc>
          <w:tcPr>
            <w:tcW w:w="1703" w:type="dxa"/>
            <w:noWrap/>
            <w:vAlign w:val="bottom"/>
          </w:tcPr>
          <w:p w14:paraId="5419A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12 608,52 </w:t>
            </w:r>
          </w:p>
        </w:tc>
        <w:tc>
          <w:tcPr>
            <w:tcW w:w="1170" w:type="dxa"/>
            <w:noWrap/>
            <w:vAlign w:val="bottom"/>
          </w:tcPr>
          <w:p w14:paraId="63AEE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1,5 </w:t>
            </w:r>
          </w:p>
        </w:tc>
      </w:tr>
      <w:tr w14:paraId="38A53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7F158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 xml:space="preserve">Образование </w:t>
            </w:r>
          </w:p>
        </w:tc>
        <w:tc>
          <w:tcPr>
            <w:tcW w:w="2408" w:type="dxa"/>
            <w:noWrap/>
            <w:vAlign w:val="bottom"/>
          </w:tcPr>
          <w:p w14:paraId="58C62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989 318,35 </w:t>
            </w:r>
          </w:p>
        </w:tc>
        <w:tc>
          <w:tcPr>
            <w:tcW w:w="1372" w:type="dxa"/>
            <w:noWrap/>
            <w:vAlign w:val="bottom"/>
          </w:tcPr>
          <w:p w14:paraId="79786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991 481,33 </w:t>
            </w:r>
          </w:p>
        </w:tc>
        <w:tc>
          <w:tcPr>
            <w:tcW w:w="1703" w:type="dxa"/>
            <w:noWrap/>
            <w:vAlign w:val="bottom"/>
          </w:tcPr>
          <w:p w14:paraId="508AE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2 162,98 </w:t>
            </w:r>
          </w:p>
        </w:tc>
        <w:tc>
          <w:tcPr>
            <w:tcW w:w="1170" w:type="dxa"/>
            <w:noWrap/>
            <w:vAlign w:val="bottom"/>
          </w:tcPr>
          <w:p w14:paraId="2CECA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</w:tr>
      <w:tr w14:paraId="325B7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4C32E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Культура, кинематография</w:t>
            </w:r>
          </w:p>
        </w:tc>
        <w:tc>
          <w:tcPr>
            <w:tcW w:w="2408" w:type="dxa"/>
            <w:noWrap/>
            <w:vAlign w:val="bottom"/>
          </w:tcPr>
          <w:p w14:paraId="2460E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235 101,28 </w:t>
            </w:r>
          </w:p>
        </w:tc>
        <w:tc>
          <w:tcPr>
            <w:tcW w:w="1372" w:type="dxa"/>
            <w:noWrap/>
            <w:vAlign w:val="bottom"/>
          </w:tcPr>
          <w:p w14:paraId="2DFCA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237 434,24 </w:t>
            </w:r>
          </w:p>
        </w:tc>
        <w:tc>
          <w:tcPr>
            <w:tcW w:w="1703" w:type="dxa"/>
            <w:noWrap/>
            <w:vAlign w:val="bottom"/>
          </w:tcPr>
          <w:p w14:paraId="03F09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2 332,96 </w:t>
            </w:r>
          </w:p>
        </w:tc>
        <w:tc>
          <w:tcPr>
            <w:tcW w:w="1170" w:type="dxa"/>
            <w:noWrap/>
            <w:vAlign w:val="bottom"/>
          </w:tcPr>
          <w:p w14:paraId="02910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1,0 </w:t>
            </w:r>
          </w:p>
        </w:tc>
      </w:tr>
      <w:tr w14:paraId="26639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6499D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>Здравохранение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 xml:space="preserve"> </w:t>
            </w:r>
          </w:p>
        </w:tc>
        <w:tc>
          <w:tcPr>
            <w:tcW w:w="2408" w:type="dxa"/>
            <w:noWrap/>
            <w:vAlign w:val="bottom"/>
          </w:tcPr>
          <w:p w14:paraId="3843A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500,00 </w:t>
            </w:r>
          </w:p>
        </w:tc>
        <w:tc>
          <w:tcPr>
            <w:tcW w:w="1372" w:type="dxa"/>
            <w:noWrap/>
            <w:vAlign w:val="bottom"/>
          </w:tcPr>
          <w:p w14:paraId="0FE05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500,00 </w:t>
            </w:r>
          </w:p>
        </w:tc>
        <w:tc>
          <w:tcPr>
            <w:tcW w:w="1703" w:type="dxa"/>
            <w:noWrap/>
            <w:vAlign w:val="bottom"/>
          </w:tcPr>
          <w:p w14:paraId="303AA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70" w:type="dxa"/>
            <w:noWrap/>
            <w:vAlign w:val="bottom"/>
          </w:tcPr>
          <w:p w14:paraId="2906E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 w14:paraId="02944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2803" w:type="dxa"/>
            <w:noWrap/>
          </w:tcPr>
          <w:p w14:paraId="0C840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Социальная политика</w:t>
            </w:r>
          </w:p>
        </w:tc>
        <w:tc>
          <w:tcPr>
            <w:tcW w:w="2408" w:type="dxa"/>
            <w:noWrap/>
            <w:vAlign w:val="bottom"/>
          </w:tcPr>
          <w:p w14:paraId="708E5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115 321,21 </w:t>
            </w:r>
          </w:p>
        </w:tc>
        <w:tc>
          <w:tcPr>
            <w:tcW w:w="1372" w:type="dxa"/>
            <w:noWrap/>
            <w:vAlign w:val="bottom"/>
          </w:tcPr>
          <w:p w14:paraId="685E7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116 093,21 </w:t>
            </w:r>
          </w:p>
        </w:tc>
        <w:tc>
          <w:tcPr>
            <w:tcW w:w="1703" w:type="dxa"/>
            <w:noWrap/>
            <w:vAlign w:val="bottom"/>
          </w:tcPr>
          <w:p w14:paraId="594E2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772,00 </w:t>
            </w:r>
          </w:p>
        </w:tc>
        <w:tc>
          <w:tcPr>
            <w:tcW w:w="1170" w:type="dxa"/>
            <w:noWrap/>
            <w:vAlign w:val="bottom"/>
          </w:tcPr>
          <w:p w14:paraId="46949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0,7 </w:t>
            </w:r>
          </w:p>
        </w:tc>
      </w:tr>
      <w:tr w14:paraId="3BEF7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123495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Физическая культура и спорт</w:t>
            </w:r>
          </w:p>
        </w:tc>
        <w:tc>
          <w:tcPr>
            <w:tcW w:w="2408" w:type="dxa"/>
            <w:noWrap/>
            <w:vAlign w:val="bottom"/>
          </w:tcPr>
          <w:p w14:paraId="76C26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149 552,42 </w:t>
            </w:r>
          </w:p>
        </w:tc>
        <w:tc>
          <w:tcPr>
            <w:tcW w:w="1372" w:type="dxa"/>
            <w:noWrap/>
            <w:vAlign w:val="bottom"/>
          </w:tcPr>
          <w:p w14:paraId="71E9A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149 983,22 </w:t>
            </w:r>
          </w:p>
        </w:tc>
        <w:tc>
          <w:tcPr>
            <w:tcW w:w="1703" w:type="dxa"/>
            <w:noWrap/>
            <w:vAlign w:val="bottom"/>
          </w:tcPr>
          <w:p w14:paraId="401BE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430,80 </w:t>
            </w:r>
          </w:p>
        </w:tc>
        <w:tc>
          <w:tcPr>
            <w:tcW w:w="1170" w:type="dxa"/>
            <w:noWrap/>
            <w:vAlign w:val="bottom"/>
          </w:tcPr>
          <w:p w14:paraId="3205B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0,3 </w:t>
            </w:r>
          </w:p>
        </w:tc>
      </w:tr>
      <w:tr w14:paraId="6AB86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2405D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Средства массовой информации</w:t>
            </w:r>
          </w:p>
        </w:tc>
        <w:tc>
          <w:tcPr>
            <w:tcW w:w="2408" w:type="dxa"/>
            <w:noWrap/>
            <w:vAlign w:val="bottom"/>
          </w:tcPr>
          <w:p w14:paraId="0D490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8 029,28 </w:t>
            </w:r>
          </w:p>
        </w:tc>
        <w:tc>
          <w:tcPr>
            <w:tcW w:w="1372" w:type="dxa"/>
            <w:noWrap/>
            <w:vAlign w:val="bottom"/>
          </w:tcPr>
          <w:p w14:paraId="2F6D5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8 029,28 </w:t>
            </w:r>
          </w:p>
        </w:tc>
        <w:tc>
          <w:tcPr>
            <w:tcW w:w="1703" w:type="dxa"/>
            <w:noWrap/>
            <w:vAlign w:val="bottom"/>
          </w:tcPr>
          <w:p w14:paraId="170B5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70" w:type="dxa"/>
            <w:noWrap/>
            <w:vAlign w:val="bottom"/>
          </w:tcPr>
          <w:p w14:paraId="26D22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79B09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2803" w:type="dxa"/>
            <w:noWrap/>
          </w:tcPr>
          <w:p w14:paraId="4D989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408" w:type="dxa"/>
            <w:noWrap/>
            <w:vAlign w:val="bottom"/>
          </w:tcPr>
          <w:p w14:paraId="6437A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990 189,96 </w:t>
            </w:r>
          </w:p>
        </w:tc>
        <w:tc>
          <w:tcPr>
            <w:tcW w:w="1372" w:type="dxa"/>
            <w:noWrap/>
            <w:vAlign w:val="bottom"/>
          </w:tcPr>
          <w:p w14:paraId="5E749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016 179,98 </w:t>
            </w:r>
          </w:p>
        </w:tc>
        <w:tc>
          <w:tcPr>
            <w:tcW w:w="1703" w:type="dxa"/>
            <w:noWrap/>
            <w:vAlign w:val="bottom"/>
          </w:tcPr>
          <w:p w14:paraId="21BE8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25 990,02 </w:t>
            </w:r>
          </w:p>
        </w:tc>
        <w:tc>
          <w:tcPr>
            <w:tcW w:w="1170" w:type="dxa"/>
            <w:noWrap/>
            <w:vAlign w:val="bottom"/>
          </w:tcPr>
          <w:p w14:paraId="0DD28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0,7 </w:t>
            </w:r>
          </w:p>
        </w:tc>
      </w:tr>
    </w:tbl>
    <w:p w14:paraId="3397C19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В соответствии с рассматриваемым проектом решения предлагается изменить расходную часть бюджета на </w:t>
      </w:r>
      <w:r>
        <w:rPr>
          <w:rFonts w:hint="default" w:ascii="Times New Roman" w:hAnsi="Times New Roman"/>
          <w:sz w:val="26"/>
          <w:szCs w:val="26"/>
          <w:lang w:val="ru-RU"/>
        </w:rPr>
        <w:t>25 990,02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тыс. рублей, увеличив на сумму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ru-RU" w:eastAsia="zh-CN" w:bidi="ar"/>
        </w:rPr>
        <w:t>31 349,79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тыс. рублей, сократив на сумму </w:t>
      </w:r>
      <w:r>
        <w:rPr>
          <w:rFonts w:hint="default" w:ascii="Times New Roman" w:hAnsi="Times New Roman"/>
          <w:sz w:val="26"/>
          <w:szCs w:val="26"/>
          <w:lang w:val="ru-RU"/>
        </w:rPr>
        <w:t>5 359,77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 w14:paraId="68CF5D8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финансового обеспечения муниципальных программ Богородского муниципального округа Нижегородской области на 2026 год представлена в таблице.</w:t>
      </w:r>
    </w:p>
    <w:p w14:paraId="14B194A8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тыс. рублей</w:t>
      </w:r>
    </w:p>
    <w:tbl>
      <w:tblPr>
        <w:tblStyle w:val="3"/>
        <w:tblW w:w="97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4361"/>
        <w:gridCol w:w="1547"/>
        <w:gridCol w:w="1288"/>
        <w:gridCol w:w="1276"/>
        <w:gridCol w:w="808"/>
      </w:tblGrid>
      <w:tr w14:paraId="3A768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445" w:type="dxa"/>
            <w:noWrap/>
            <w:vAlign w:val="center"/>
          </w:tcPr>
          <w:p w14:paraId="4F2D910D">
            <w:pPr>
              <w:spacing w:after="0" w:line="240" w:lineRule="auto"/>
              <w:jc w:val="both"/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4361" w:type="dxa"/>
            <w:noWrap/>
            <w:vAlign w:val="center"/>
          </w:tcPr>
          <w:p w14:paraId="61224F0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547" w:type="dxa"/>
            <w:noWrap/>
            <w:vAlign w:val="center"/>
          </w:tcPr>
          <w:p w14:paraId="4FE2983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25.03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88" w:type="dxa"/>
            <w:noWrap/>
            <w:vAlign w:val="center"/>
          </w:tcPr>
          <w:p w14:paraId="1FF6729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Проект решения</w:t>
            </w:r>
          </w:p>
        </w:tc>
        <w:tc>
          <w:tcPr>
            <w:tcW w:w="1276" w:type="dxa"/>
            <w:noWrap/>
            <w:vAlign w:val="center"/>
          </w:tcPr>
          <w:p w14:paraId="052CF45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808" w:type="dxa"/>
            <w:noWrap/>
            <w:vAlign w:val="center"/>
          </w:tcPr>
          <w:p w14:paraId="45EF5BE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% изменения</w:t>
            </w:r>
          </w:p>
        </w:tc>
      </w:tr>
      <w:tr w14:paraId="651D9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445" w:type="dxa"/>
            <w:noWrap/>
            <w:vAlign w:val="center"/>
          </w:tcPr>
          <w:p w14:paraId="47C17771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</w:t>
            </w:r>
          </w:p>
        </w:tc>
        <w:tc>
          <w:tcPr>
            <w:tcW w:w="4361" w:type="dxa"/>
            <w:noWrap/>
            <w:vAlign w:val="center"/>
          </w:tcPr>
          <w:p w14:paraId="5A02D8A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образования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582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926 532,38</w:t>
            </w:r>
          </w:p>
        </w:tc>
        <w:tc>
          <w:tcPr>
            <w:tcW w:w="1288" w:type="dxa"/>
            <w:noWrap/>
            <w:vAlign w:val="center"/>
          </w:tcPr>
          <w:p w14:paraId="01D60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928 131,86</w:t>
            </w:r>
          </w:p>
        </w:tc>
        <w:tc>
          <w:tcPr>
            <w:tcW w:w="1276" w:type="dxa"/>
            <w:noWrap/>
            <w:vAlign w:val="center"/>
          </w:tcPr>
          <w:p w14:paraId="4C02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1 599,48</w:t>
            </w:r>
          </w:p>
        </w:tc>
        <w:tc>
          <w:tcPr>
            <w:tcW w:w="808" w:type="dxa"/>
            <w:noWrap/>
            <w:vAlign w:val="center"/>
          </w:tcPr>
          <w:p w14:paraId="73D97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1</w:t>
            </w:r>
          </w:p>
        </w:tc>
      </w:tr>
      <w:tr w14:paraId="28F1C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3F3BDE9E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4361" w:type="dxa"/>
            <w:noWrap/>
            <w:vAlign w:val="center"/>
          </w:tcPr>
          <w:p w14:paraId="394B41C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«Социальная поддержка граждан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526E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28 647,85</w:t>
            </w:r>
          </w:p>
        </w:tc>
        <w:tc>
          <w:tcPr>
            <w:tcW w:w="1288" w:type="dxa"/>
            <w:noWrap/>
            <w:vAlign w:val="center"/>
          </w:tcPr>
          <w:p w14:paraId="741A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29 419,85</w:t>
            </w:r>
          </w:p>
        </w:tc>
        <w:tc>
          <w:tcPr>
            <w:tcW w:w="1276" w:type="dxa"/>
            <w:noWrap/>
            <w:vAlign w:val="center"/>
          </w:tcPr>
          <w:p w14:paraId="086A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772,00</w:t>
            </w:r>
          </w:p>
        </w:tc>
        <w:tc>
          <w:tcPr>
            <w:tcW w:w="808" w:type="dxa"/>
            <w:noWrap/>
            <w:vAlign w:val="center"/>
          </w:tcPr>
          <w:p w14:paraId="4846B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7</w:t>
            </w:r>
          </w:p>
        </w:tc>
      </w:tr>
      <w:tr w14:paraId="14FC5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122E1C7F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3</w:t>
            </w:r>
          </w:p>
        </w:tc>
        <w:tc>
          <w:tcPr>
            <w:tcW w:w="4361" w:type="dxa"/>
            <w:noWrap/>
            <w:vAlign w:val="center"/>
          </w:tcPr>
          <w:p w14:paraId="52757AB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населения Богородского муниципального округа Нижегородской области доступным и комфортным жильем»</w:t>
            </w:r>
          </w:p>
        </w:tc>
        <w:tc>
          <w:tcPr>
            <w:tcW w:w="1547" w:type="dxa"/>
            <w:noWrap/>
            <w:vAlign w:val="center"/>
          </w:tcPr>
          <w:p w14:paraId="5486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72 767,22</w:t>
            </w:r>
          </w:p>
        </w:tc>
        <w:tc>
          <w:tcPr>
            <w:tcW w:w="1288" w:type="dxa"/>
            <w:noWrap/>
            <w:vAlign w:val="center"/>
          </w:tcPr>
          <w:p w14:paraId="7665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70 721,89</w:t>
            </w:r>
          </w:p>
        </w:tc>
        <w:tc>
          <w:tcPr>
            <w:tcW w:w="1276" w:type="dxa"/>
            <w:noWrap/>
            <w:vAlign w:val="center"/>
          </w:tcPr>
          <w:p w14:paraId="0DBD5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2 045,33</w:t>
            </w:r>
          </w:p>
        </w:tc>
        <w:tc>
          <w:tcPr>
            <w:tcW w:w="808" w:type="dxa"/>
            <w:noWrap/>
            <w:vAlign w:val="center"/>
          </w:tcPr>
          <w:p w14:paraId="5226E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2,8</w:t>
            </w:r>
          </w:p>
        </w:tc>
      </w:tr>
      <w:tr w14:paraId="7D19D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635D82DF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4</w:t>
            </w:r>
          </w:p>
        </w:tc>
        <w:tc>
          <w:tcPr>
            <w:tcW w:w="4361" w:type="dxa"/>
            <w:noWrap/>
            <w:vAlign w:val="center"/>
          </w:tcPr>
          <w:p w14:paraId="10015F4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культуры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6A01E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301 832,32</w:t>
            </w:r>
          </w:p>
        </w:tc>
        <w:tc>
          <w:tcPr>
            <w:tcW w:w="1288" w:type="dxa"/>
            <w:noWrap/>
            <w:vAlign w:val="center"/>
          </w:tcPr>
          <w:p w14:paraId="007BF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302 498,32</w:t>
            </w:r>
          </w:p>
        </w:tc>
        <w:tc>
          <w:tcPr>
            <w:tcW w:w="1276" w:type="dxa"/>
            <w:noWrap/>
            <w:vAlign w:val="center"/>
          </w:tcPr>
          <w:p w14:paraId="78F8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666,00</w:t>
            </w:r>
          </w:p>
        </w:tc>
        <w:tc>
          <w:tcPr>
            <w:tcW w:w="808" w:type="dxa"/>
            <w:noWrap/>
            <w:vAlign w:val="center"/>
          </w:tcPr>
          <w:p w14:paraId="6EB59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0,2</w:t>
            </w:r>
          </w:p>
        </w:tc>
      </w:tr>
      <w:tr w14:paraId="05336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70273B90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5</w:t>
            </w:r>
          </w:p>
        </w:tc>
        <w:tc>
          <w:tcPr>
            <w:tcW w:w="4361" w:type="dxa"/>
            <w:noWrap/>
            <w:vAlign w:val="center"/>
          </w:tcPr>
          <w:p w14:paraId="29EFBED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физической культуры и спорта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7166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138 964,62</w:t>
            </w:r>
          </w:p>
        </w:tc>
        <w:tc>
          <w:tcPr>
            <w:tcW w:w="1288" w:type="dxa"/>
            <w:noWrap/>
            <w:vAlign w:val="center"/>
          </w:tcPr>
          <w:p w14:paraId="32BA8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139 395,42</w:t>
            </w:r>
          </w:p>
        </w:tc>
        <w:tc>
          <w:tcPr>
            <w:tcW w:w="1276" w:type="dxa"/>
            <w:noWrap/>
            <w:vAlign w:val="center"/>
          </w:tcPr>
          <w:p w14:paraId="143A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430,80</w:t>
            </w:r>
          </w:p>
        </w:tc>
        <w:tc>
          <w:tcPr>
            <w:tcW w:w="808" w:type="dxa"/>
            <w:noWrap/>
            <w:vAlign w:val="center"/>
          </w:tcPr>
          <w:p w14:paraId="12A7A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0,3</w:t>
            </w:r>
          </w:p>
        </w:tc>
      </w:tr>
      <w:tr w14:paraId="1CD14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76D99802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6</w:t>
            </w:r>
          </w:p>
        </w:tc>
        <w:tc>
          <w:tcPr>
            <w:tcW w:w="4361" w:type="dxa"/>
            <w:noWrap/>
            <w:vAlign w:val="center"/>
          </w:tcPr>
          <w:p w14:paraId="035DA17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агропромышленного комплекса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B936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27 987,51</w:t>
            </w:r>
          </w:p>
        </w:tc>
        <w:tc>
          <w:tcPr>
            <w:tcW w:w="1288" w:type="dxa"/>
            <w:noWrap/>
            <w:vAlign w:val="center"/>
          </w:tcPr>
          <w:p w14:paraId="10BDA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27 987,51</w:t>
            </w:r>
          </w:p>
        </w:tc>
        <w:tc>
          <w:tcPr>
            <w:tcW w:w="1276" w:type="dxa"/>
            <w:noWrap/>
            <w:vAlign w:val="center"/>
          </w:tcPr>
          <w:p w14:paraId="5CF2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8" w:type="dxa"/>
            <w:noWrap/>
            <w:vAlign w:val="center"/>
          </w:tcPr>
          <w:p w14:paraId="4C54C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4ADF9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419C61DC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7</w:t>
            </w:r>
          </w:p>
        </w:tc>
        <w:tc>
          <w:tcPr>
            <w:tcW w:w="4361" w:type="dxa"/>
            <w:noWrap/>
            <w:vAlign w:val="center"/>
          </w:tcPr>
          <w:p w14:paraId="1944BAA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«Управление муниципальными финансами и муниципальным долгом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BC77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99 210,73</w:t>
            </w:r>
          </w:p>
        </w:tc>
        <w:tc>
          <w:tcPr>
            <w:tcW w:w="1288" w:type="dxa"/>
            <w:noWrap/>
            <w:vAlign w:val="center"/>
          </w:tcPr>
          <w:p w14:paraId="5D8C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98 438,73</w:t>
            </w:r>
          </w:p>
        </w:tc>
        <w:tc>
          <w:tcPr>
            <w:tcW w:w="1276" w:type="dxa"/>
            <w:noWrap/>
            <w:vAlign w:val="center"/>
          </w:tcPr>
          <w:p w14:paraId="449A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772,00</w:t>
            </w:r>
          </w:p>
        </w:tc>
        <w:tc>
          <w:tcPr>
            <w:tcW w:w="808" w:type="dxa"/>
            <w:noWrap/>
            <w:vAlign w:val="center"/>
          </w:tcPr>
          <w:p w14:paraId="3942D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0,8</w:t>
            </w:r>
          </w:p>
        </w:tc>
      </w:tr>
      <w:tr w14:paraId="5ECE1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476996E4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8</w:t>
            </w:r>
          </w:p>
        </w:tc>
        <w:tc>
          <w:tcPr>
            <w:tcW w:w="4361" w:type="dxa"/>
            <w:noWrap/>
            <w:vAlign w:val="center"/>
          </w:tcPr>
          <w:p w14:paraId="2258E24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«Управление муниципальным имуществом и земельными ресурсами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1A5D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40 328,22</w:t>
            </w:r>
          </w:p>
        </w:tc>
        <w:tc>
          <w:tcPr>
            <w:tcW w:w="1288" w:type="dxa"/>
            <w:noWrap/>
            <w:vAlign w:val="center"/>
          </w:tcPr>
          <w:p w14:paraId="68A0C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46 997,55</w:t>
            </w:r>
          </w:p>
        </w:tc>
        <w:tc>
          <w:tcPr>
            <w:tcW w:w="1276" w:type="dxa"/>
            <w:noWrap/>
            <w:vAlign w:val="center"/>
          </w:tcPr>
          <w:p w14:paraId="6B6C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6 669,33</w:t>
            </w:r>
          </w:p>
        </w:tc>
        <w:tc>
          <w:tcPr>
            <w:tcW w:w="808" w:type="dxa"/>
            <w:noWrap/>
            <w:vAlign w:val="center"/>
          </w:tcPr>
          <w:p w14:paraId="71E7F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16,5</w:t>
            </w:r>
          </w:p>
        </w:tc>
      </w:tr>
      <w:tr w14:paraId="40A5B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1EC12C33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9</w:t>
            </w:r>
          </w:p>
        </w:tc>
        <w:tc>
          <w:tcPr>
            <w:tcW w:w="4361" w:type="dxa"/>
            <w:noWrap/>
            <w:vAlign w:val="center"/>
          </w:tcPr>
          <w:p w14:paraId="2E90D89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«Содействие развитию субъектов малого и среднего предпринимательства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7B85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1 150,20</w:t>
            </w:r>
          </w:p>
        </w:tc>
        <w:tc>
          <w:tcPr>
            <w:tcW w:w="1288" w:type="dxa"/>
            <w:noWrap/>
            <w:vAlign w:val="center"/>
          </w:tcPr>
          <w:p w14:paraId="3A42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1 150,20</w:t>
            </w:r>
          </w:p>
        </w:tc>
        <w:tc>
          <w:tcPr>
            <w:tcW w:w="1276" w:type="dxa"/>
            <w:noWrap/>
            <w:vAlign w:val="center"/>
          </w:tcPr>
          <w:p w14:paraId="77636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8" w:type="dxa"/>
            <w:noWrap/>
            <w:vAlign w:val="center"/>
          </w:tcPr>
          <w:p w14:paraId="20552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</w:tr>
      <w:tr w14:paraId="4E1E64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2A81401F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10</w:t>
            </w:r>
          </w:p>
        </w:tc>
        <w:tc>
          <w:tcPr>
            <w:tcW w:w="4361" w:type="dxa"/>
            <w:noWrap/>
            <w:vAlign w:val="center"/>
          </w:tcPr>
          <w:p w14:paraId="60D6AF1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дорожного хозяйства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D89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211 095,86</w:t>
            </w:r>
          </w:p>
        </w:tc>
        <w:tc>
          <w:tcPr>
            <w:tcW w:w="1288" w:type="dxa"/>
            <w:noWrap/>
            <w:vAlign w:val="center"/>
          </w:tcPr>
          <w:p w14:paraId="0878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212 325,98</w:t>
            </w:r>
          </w:p>
        </w:tc>
        <w:tc>
          <w:tcPr>
            <w:tcW w:w="1276" w:type="dxa"/>
            <w:noWrap/>
            <w:vAlign w:val="center"/>
          </w:tcPr>
          <w:p w14:paraId="684DF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1 230,12</w:t>
            </w:r>
          </w:p>
        </w:tc>
        <w:tc>
          <w:tcPr>
            <w:tcW w:w="808" w:type="dxa"/>
            <w:noWrap/>
            <w:vAlign w:val="center"/>
          </w:tcPr>
          <w:p w14:paraId="0CCC2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6</w:t>
            </w:r>
          </w:p>
        </w:tc>
      </w:tr>
      <w:tr w14:paraId="55DC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445" w:type="dxa"/>
            <w:noWrap/>
            <w:vAlign w:val="center"/>
          </w:tcPr>
          <w:p w14:paraId="16FE8ED5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11</w:t>
            </w:r>
          </w:p>
        </w:tc>
        <w:tc>
          <w:tcPr>
            <w:tcW w:w="4361" w:type="dxa"/>
            <w:noWrap/>
            <w:vAlign w:val="center"/>
          </w:tcPr>
          <w:p w14:paraId="4FA3F9A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населения Богородского муниципального округа Нижегородской области качественными услугами в сфере жилищно-коммунального хозяйства»</w:t>
            </w:r>
          </w:p>
        </w:tc>
        <w:tc>
          <w:tcPr>
            <w:tcW w:w="1547" w:type="dxa"/>
            <w:noWrap/>
            <w:vAlign w:val="center"/>
          </w:tcPr>
          <w:p w14:paraId="4A21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365 584,34</w:t>
            </w:r>
          </w:p>
        </w:tc>
        <w:tc>
          <w:tcPr>
            <w:tcW w:w="1288" w:type="dxa"/>
            <w:noWrap/>
            <w:vAlign w:val="center"/>
          </w:tcPr>
          <w:p w14:paraId="34DA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363 667,34</w:t>
            </w:r>
          </w:p>
        </w:tc>
        <w:tc>
          <w:tcPr>
            <w:tcW w:w="1276" w:type="dxa"/>
            <w:noWrap/>
            <w:vAlign w:val="center"/>
          </w:tcPr>
          <w:p w14:paraId="538B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1 917,00</w:t>
            </w:r>
          </w:p>
        </w:tc>
        <w:tc>
          <w:tcPr>
            <w:tcW w:w="808" w:type="dxa"/>
            <w:noWrap/>
            <w:vAlign w:val="center"/>
          </w:tcPr>
          <w:p w14:paraId="4A615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0,5</w:t>
            </w:r>
          </w:p>
        </w:tc>
      </w:tr>
      <w:tr w14:paraId="76AA2F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575B3AE5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12</w:t>
            </w:r>
          </w:p>
        </w:tc>
        <w:tc>
          <w:tcPr>
            <w:tcW w:w="4361" w:type="dxa"/>
            <w:noWrap/>
            <w:vAlign w:val="center"/>
          </w:tcPr>
          <w:p w14:paraId="6A64EAD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безопасности жизнедеятельности населения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669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92 305,77</w:t>
            </w:r>
          </w:p>
        </w:tc>
        <w:tc>
          <w:tcPr>
            <w:tcW w:w="1288" w:type="dxa"/>
            <w:noWrap/>
            <w:vAlign w:val="center"/>
          </w:tcPr>
          <w:p w14:paraId="6BF1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95 885,61</w:t>
            </w:r>
          </w:p>
        </w:tc>
        <w:tc>
          <w:tcPr>
            <w:tcW w:w="1276" w:type="dxa"/>
            <w:noWrap/>
            <w:vAlign w:val="center"/>
          </w:tcPr>
          <w:p w14:paraId="56498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3 579,84</w:t>
            </w:r>
          </w:p>
        </w:tc>
        <w:tc>
          <w:tcPr>
            <w:tcW w:w="808" w:type="dxa"/>
            <w:noWrap/>
            <w:vAlign w:val="center"/>
          </w:tcPr>
          <w:p w14:paraId="5CBA2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9</w:t>
            </w:r>
          </w:p>
        </w:tc>
      </w:tr>
      <w:tr w14:paraId="1753F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1CD8E5D0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13</w:t>
            </w:r>
          </w:p>
        </w:tc>
        <w:tc>
          <w:tcPr>
            <w:tcW w:w="4361" w:type="dxa"/>
            <w:noWrap/>
            <w:vAlign w:val="center"/>
          </w:tcPr>
          <w:p w14:paraId="60CA513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«Информационное общество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034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26 767,61</w:t>
            </w:r>
          </w:p>
        </w:tc>
        <w:tc>
          <w:tcPr>
            <w:tcW w:w="1288" w:type="dxa"/>
            <w:noWrap/>
            <w:vAlign w:val="center"/>
          </w:tcPr>
          <w:p w14:paraId="1DF1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26 767,61</w:t>
            </w:r>
          </w:p>
        </w:tc>
        <w:tc>
          <w:tcPr>
            <w:tcW w:w="1276" w:type="dxa"/>
            <w:noWrap/>
            <w:vAlign w:val="center"/>
          </w:tcPr>
          <w:p w14:paraId="7306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8" w:type="dxa"/>
            <w:noWrap/>
            <w:vAlign w:val="center"/>
          </w:tcPr>
          <w:p w14:paraId="1919F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</w:t>
            </w:r>
          </w:p>
        </w:tc>
      </w:tr>
      <w:tr w14:paraId="7F3E3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17915B48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14</w:t>
            </w:r>
          </w:p>
        </w:tc>
        <w:tc>
          <w:tcPr>
            <w:tcW w:w="4361" w:type="dxa"/>
            <w:noWrap/>
            <w:vAlign w:val="center"/>
          </w:tcPr>
          <w:p w14:paraId="4BAD13F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муниципальной службы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6D1F4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177 518,96</w:t>
            </w:r>
          </w:p>
        </w:tc>
        <w:tc>
          <w:tcPr>
            <w:tcW w:w="1288" w:type="dxa"/>
            <w:noWrap/>
            <w:vAlign w:val="center"/>
          </w:tcPr>
          <w:p w14:paraId="2769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179 779,47</w:t>
            </w:r>
          </w:p>
        </w:tc>
        <w:tc>
          <w:tcPr>
            <w:tcW w:w="1276" w:type="dxa"/>
            <w:noWrap/>
            <w:vAlign w:val="center"/>
          </w:tcPr>
          <w:p w14:paraId="68B0D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2 260,51</w:t>
            </w:r>
          </w:p>
        </w:tc>
        <w:tc>
          <w:tcPr>
            <w:tcW w:w="808" w:type="dxa"/>
            <w:noWrap/>
            <w:vAlign w:val="center"/>
          </w:tcPr>
          <w:p w14:paraId="3FD54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3</w:t>
            </w:r>
          </w:p>
        </w:tc>
      </w:tr>
      <w:tr w14:paraId="49AC8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445" w:type="dxa"/>
            <w:noWrap/>
            <w:vAlign w:val="center"/>
          </w:tcPr>
          <w:p w14:paraId="6B418E21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15</w:t>
            </w:r>
          </w:p>
        </w:tc>
        <w:tc>
          <w:tcPr>
            <w:tcW w:w="4361" w:type="dxa"/>
            <w:noWrap/>
            <w:vAlign w:val="center"/>
          </w:tcPr>
          <w:p w14:paraId="744FCA5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«Формирование комфортной городской среды на территории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651AC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240 178,93</w:t>
            </w:r>
          </w:p>
        </w:tc>
        <w:tc>
          <w:tcPr>
            <w:tcW w:w="1288" w:type="dxa"/>
            <w:noWrap/>
            <w:vAlign w:val="center"/>
          </w:tcPr>
          <w:p w14:paraId="2E19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240 178,88</w:t>
            </w:r>
          </w:p>
        </w:tc>
        <w:tc>
          <w:tcPr>
            <w:tcW w:w="1276" w:type="dxa"/>
            <w:noWrap/>
            <w:vAlign w:val="center"/>
          </w:tcPr>
          <w:p w14:paraId="64A5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0,04</w:t>
            </w:r>
          </w:p>
        </w:tc>
        <w:tc>
          <w:tcPr>
            <w:tcW w:w="808" w:type="dxa"/>
            <w:noWrap/>
            <w:vAlign w:val="center"/>
          </w:tcPr>
          <w:p w14:paraId="02142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</w:t>
            </w:r>
          </w:p>
        </w:tc>
      </w:tr>
      <w:tr w14:paraId="092D1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2296B11B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16</w:t>
            </w:r>
          </w:p>
        </w:tc>
        <w:tc>
          <w:tcPr>
            <w:tcW w:w="4361" w:type="dxa"/>
            <w:noWrap/>
            <w:vAlign w:val="center"/>
          </w:tcPr>
          <w:p w14:paraId="633C6AC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«Улучшение качества жизни и обеспечение безопасности жителей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6710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197 750,08</w:t>
            </w:r>
          </w:p>
        </w:tc>
        <w:tc>
          <w:tcPr>
            <w:tcW w:w="1288" w:type="dxa"/>
            <w:noWrap/>
            <w:vAlign w:val="center"/>
          </w:tcPr>
          <w:p w14:paraId="3B5B0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210 460,09</w:t>
            </w:r>
          </w:p>
        </w:tc>
        <w:tc>
          <w:tcPr>
            <w:tcW w:w="1276" w:type="dxa"/>
            <w:noWrap/>
            <w:vAlign w:val="center"/>
          </w:tcPr>
          <w:p w14:paraId="776F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12 710,00</w:t>
            </w:r>
          </w:p>
        </w:tc>
        <w:tc>
          <w:tcPr>
            <w:tcW w:w="808" w:type="dxa"/>
            <w:noWrap/>
            <w:vAlign w:val="center"/>
          </w:tcPr>
          <w:p w14:paraId="3B24E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6,4</w:t>
            </w:r>
          </w:p>
        </w:tc>
      </w:tr>
      <w:tr w14:paraId="00EF0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noWrap/>
            <w:vAlign w:val="center"/>
          </w:tcPr>
          <w:p w14:paraId="70EC427E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17</w:t>
            </w:r>
          </w:p>
        </w:tc>
        <w:tc>
          <w:tcPr>
            <w:tcW w:w="4361" w:type="dxa"/>
            <w:noWrap/>
            <w:vAlign w:val="center"/>
          </w:tcPr>
          <w:p w14:paraId="3F838C7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«Энергосбережение и повышение энергетической эффективности в организациях с участием муниципального образования Богородский муниципальный округ»</w:t>
            </w:r>
          </w:p>
        </w:tc>
        <w:tc>
          <w:tcPr>
            <w:tcW w:w="1547" w:type="dxa"/>
            <w:noWrap/>
            <w:vAlign w:val="center"/>
          </w:tcPr>
          <w:p w14:paraId="171C4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30,00</w:t>
            </w:r>
          </w:p>
        </w:tc>
        <w:tc>
          <w:tcPr>
            <w:tcW w:w="1288" w:type="dxa"/>
            <w:noWrap/>
            <w:vAlign w:val="center"/>
          </w:tcPr>
          <w:p w14:paraId="5495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30,00</w:t>
            </w:r>
          </w:p>
        </w:tc>
        <w:tc>
          <w:tcPr>
            <w:tcW w:w="1276" w:type="dxa"/>
            <w:noWrap/>
            <w:vAlign w:val="center"/>
          </w:tcPr>
          <w:p w14:paraId="0E84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8" w:type="dxa"/>
            <w:noWrap/>
            <w:vAlign w:val="center"/>
          </w:tcPr>
          <w:p w14:paraId="52EC5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</w:t>
            </w:r>
          </w:p>
        </w:tc>
      </w:tr>
      <w:tr w14:paraId="22948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445" w:type="dxa"/>
            <w:noWrap/>
          </w:tcPr>
          <w:p w14:paraId="63943FDC">
            <w:pPr>
              <w:spacing w:after="0" w:line="240" w:lineRule="auto"/>
              <w:rPr>
                <w:rFonts w:ascii="Times New Roman" w:hAnsi="Times New Roman" w:eastAsia="SimSun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361" w:type="dxa"/>
            <w:noWrap/>
          </w:tcPr>
          <w:p w14:paraId="43CDD988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auto"/>
                <w:sz w:val="20"/>
                <w:szCs w:val="20"/>
                <w:lang w:val="en-US" w:eastAsia="zh-CN"/>
              </w:rPr>
              <w:t>Всего:</w:t>
            </w:r>
          </w:p>
        </w:tc>
        <w:tc>
          <w:tcPr>
            <w:tcW w:w="1547" w:type="dxa"/>
            <w:noWrap/>
            <w:vAlign w:val="center"/>
          </w:tcPr>
          <w:p w14:paraId="4123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948 652,60</w:t>
            </w:r>
          </w:p>
        </w:tc>
        <w:tc>
          <w:tcPr>
            <w:tcW w:w="1288" w:type="dxa"/>
            <w:noWrap/>
            <w:vAlign w:val="center"/>
          </w:tcPr>
          <w:p w14:paraId="2F83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973 836,31</w:t>
            </w:r>
          </w:p>
        </w:tc>
        <w:tc>
          <w:tcPr>
            <w:tcW w:w="1276" w:type="dxa"/>
            <w:noWrap/>
            <w:vAlign w:val="center"/>
          </w:tcPr>
          <w:p w14:paraId="5048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25 183,71</w:t>
            </w:r>
          </w:p>
        </w:tc>
        <w:tc>
          <w:tcPr>
            <w:tcW w:w="808" w:type="dxa"/>
            <w:noWrap/>
            <w:vAlign w:val="center"/>
          </w:tcPr>
          <w:p w14:paraId="4D4FD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0,6</w:t>
            </w:r>
          </w:p>
        </w:tc>
      </w:tr>
    </w:tbl>
    <w:p w14:paraId="5AD9A0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Основные изменения финансового обеспечения предусмотрены по муниципальным программам 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>«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Управление муниципальным имуществом и земельными ресурсами Богородского муниципального округа Нижег</w:t>
      </w:r>
      <w:r>
        <w:rPr>
          <w:rFonts w:ascii="Times New Roman" w:hAnsi="Times New Roman" w:eastAsia="SimSun"/>
          <w:color w:val="auto"/>
          <w:sz w:val="26"/>
          <w:szCs w:val="26"/>
          <w:lang w:val="ru-RU" w:eastAsia="zh-CN"/>
        </w:rPr>
        <w:t>ородской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 xml:space="preserve"> области 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с </w:t>
      </w:r>
      <w:r>
        <w:rPr>
          <w:rFonts w:ascii="Times New Roman" w:hAnsi="Times New Roman" w:eastAsia="SimSun"/>
          <w:color w:val="000000"/>
          <w:sz w:val="26"/>
          <w:szCs w:val="26"/>
          <w:lang w:val="ru-RU" w:eastAsia="zh-CN"/>
        </w:rPr>
        <w:t>увеличени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ем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ru-RU" w:eastAsia="zh-CN" w:bidi="ar"/>
        </w:rPr>
        <w:t>6 669,33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тыс.</w:t>
      </w:r>
      <w:r>
        <w:rPr>
          <w:rFonts w:ascii="Times New Roman" w:hAnsi="Times New Roman" w:eastAsia="SimSun"/>
          <w:color w:val="000000"/>
          <w:sz w:val="26"/>
          <w:szCs w:val="26"/>
          <w:lang w:val="ru-RU" w:eastAsia="zh-CN"/>
        </w:rPr>
        <w:t>р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>ублей</w:t>
      </w:r>
      <w:r>
        <w:rPr>
          <w:rFonts w:hint="default" w:ascii="Times New Roman" w:hAnsi="Times New Roman" w:eastAsia="SimSun"/>
          <w:color w:val="000000"/>
          <w:sz w:val="26"/>
          <w:szCs w:val="26"/>
          <w:lang w:val="ru-RU" w:eastAsia="zh-CN"/>
        </w:rPr>
        <w:t xml:space="preserve"> (или 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на </w:t>
      </w:r>
      <w:r>
        <w:rPr>
          <w:rFonts w:hint="default" w:ascii="Times New Roman" w:hAnsi="Times New Roman" w:eastAsia="SimSun"/>
          <w:color w:val="000000"/>
          <w:sz w:val="26"/>
          <w:szCs w:val="26"/>
          <w:lang w:val="ru-RU" w:eastAsia="zh-CN"/>
        </w:rPr>
        <w:t>16,5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%), «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Улучшение качества жизни и обеспечение безопасности жителей Богородского муниципального округа Нижегородской области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» с </w:t>
      </w:r>
      <w:r>
        <w:rPr>
          <w:rFonts w:ascii="Times New Roman" w:hAnsi="Times New Roman" w:eastAsia="SimSun"/>
          <w:color w:val="000000"/>
          <w:sz w:val="26"/>
          <w:szCs w:val="26"/>
          <w:lang w:val="ru-RU" w:eastAsia="zh-CN"/>
        </w:rPr>
        <w:t>увеличени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ем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ru-RU" w:eastAsia="zh-CN" w:bidi="ar"/>
        </w:rPr>
        <w:t>12 710,00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тыс. рублей (или на </w:t>
      </w:r>
      <w:r>
        <w:rPr>
          <w:rFonts w:hint="default" w:ascii="Times New Roman" w:hAnsi="Times New Roman" w:eastAsia="SimSun"/>
          <w:color w:val="000000"/>
          <w:sz w:val="26"/>
          <w:szCs w:val="26"/>
          <w:lang w:val="ru-RU" w:eastAsia="zh-CN"/>
        </w:rPr>
        <w:t xml:space="preserve">6,4 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>%), «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Обеспечение безопасности жизнедеятельности населения Богородского муниципального округа Нижегородской области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>»</w:t>
      </w:r>
      <w:r>
        <w:rPr>
          <w:rFonts w:ascii="Times New Roman" w:hAnsi="Times New Roman" w:eastAsiaTheme="minorEastAsia"/>
          <w:sz w:val="26"/>
          <w:szCs w:val="26"/>
        </w:rPr>
        <w:t xml:space="preserve"> </w:t>
      </w:r>
      <w:r>
        <w:rPr>
          <w:rFonts w:ascii="Times New Roman" w:hAnsi="Times New Roman" w:eastAsiaTheme="minorEastAsia"/>
          <w:sz w:val="26"/>
          <w:szCs w:val="26"/>
          <w:lang w:val="ru-RU"/>
        </w:rPr>
        <w:t>с</w:t>
      </w:r>
      <w:r>
        <w:rPr>
          <w:rFonts w:hint="default" w:ascii="Times New Roman" w:hAnsi="Times New Roman" w:eastAsiaTheme="minorEastAsia"/>
          <w:sz w:val="26"/>
          <w:szCs w:val="26"/>
          <w:lang w:val="ru-RU"/>
        </w:rPr>
        <w:t xml:space="preserve"> </w:t>
      </w:r>
      <w:r>
        <w:rPr>
          <w:rFonts w:ascii="Times New Roman" w:hAnsi="Times New Roman" w:eastAsiaTheme="minorEastAsia"/>
          <w:sz w:val="26"/>
          <w:szCs w:val="26"/>
        </w:rPr>
        <w:t>у</w:t>
      </w:r>
      <w:r>
        <w:rPr>
          <w:rFonts w:ascii="Times New Roman" w:hAnsi="Times New Roman" w:eastAsiaTheme="minorEastAsia"/>
          <w:sz w:val="26"/>
          <w:szCs w:val="26"/>
          <w:lang w:val="ru-RU"/>
        </w:rPr>
        <w:t>величен</w:t>
      </w:r>
      <w:r>
        <w:rPr>
          <w:rFonts w:ascii="Times New Roman" w:hAnsi="Times New Roman" w:eastAsiaTheme="minorEastAsia"/>
          <w:sz w:val="26"/>
          <w:szCs w:val="26"/>
        </w:rPr>
        <w:t>и</w:t>
      </w:r>
      <w:r>
        <w:rPr>
          <w:rFonts w:ascii="Times New Roman" w:hAnsi="Times New Roman" w:eastAsiaTheme="minorEastAsia"/>
          <w:sz w:val="26"/>
          <w:szCs w:val="26"/>
          <w:lang w:val="ru-RU"/>
        </w:rPr>
        <w:t>ем</w:t>
      </w:r>
      <w:r>
        <w:rPr>
          <w:rFonts w:ascii="Times New Roman" w:hAnsi="Times New Roman" w:eastAsiaTheme="minorEastAsia"/>
          <w:sz w:val="26"/>
          <w:szCs w:val="26"/>
        </w:rPr>
        <w:t xml:space="preserve">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ru-RU" w:eastAsia="zh-CN" w:bidi="ar"/>
        </w:rPr>
        <w:t>3 579,84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</w:t>
      </w:r>
      <w:r>
        <w:rPr>
          <w:rFonts w:ascii="Times New Roman" w:hAnsi="Times New Roman" w:eastAsiaTheme="minorEastAsia"/>
          <w:sz w:val="26"/>
          <w:szCs w:val="26"/>
        </w:rPr>
        <w:t xml:space="preserve">тыс. рублей (или на </w:t>
      </w:r>
      <w:r>
        <w:rPr>
          <w:rFonts w:hint="default" w:ascii="Times New Roman" w:hAnsi="Times New Roman" w:eastAsiaTheme="minorEastAsia"/>
          <w:sz w:val="26"/>
          <w:szCs w:val="26"/>
          <w:lang w:val="ru-RU"/>
        </w:rPr>
        <w:t>3,9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%</w:t>
      </w:r>
      <w:r>
        <w:rPr>
          <w:rFonts w:ascii="Times New Roman" w:hAnsi="Times New Roman"/>
          <w:color w:val="000000"/>
          <w:sz w:val="26"/>
          <w:szCs w:val="26"/>
        </w:rPr>
        <w:t>).</w:t>
      </w:r>
    </w:p>
    <w:p w14:paraId="3F7349E0">
      <w:pPr>
        <w:pStyle w:val="188"/>
        <w:spacing w:line="240" w:lineRule="auto"/>
        <w:ind w:left="0"/>
        <w:jc w:val="both"/>
        <w:rPr>
          <w:rFonts w:hint="default"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Непрограммные расходы составили </w:t>
      </w:r>
      <w:r>
        <w:rPr>
          <w:rFonts w:hint="default" w:ascii="Times New Roman" w:hAnsi="Times New Roman"/>
          <w:color w:val="000000"/>
          <w:sz w:val="26"/>
          <w:szCs w:val="26"/>
        </w:rPr>
        <w:t>4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2 343,67 </w:t>
      </w:r>
      <w:r>
        <w:rPr>
          <w:rFonts w:ascii="Times New Roman" w:hAnsi="Times New Roman"/>
          <w:color w:val="000000"/>
          <w:sz w:val="26"/>
          <w:szCs w:val="26"/>
        </w:rPr>
        <w:t>тыс.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р</w:t>
      </w:r>
      <w:r>
        <w:rPr>
          <w:rFonts w:ascii="Times New Roman" w:hAnsi="Times New Roman"/>
          <w:color w:val="000000"/>
          <w:sz w:val="26"/>
          <w:szCs w:val="26"/>
        </w:rPr>
        <w:t>ублей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, увеличились на 806,31 тыс.рублей.</w:t>
      </w:r>
    </w:p>
    <w:p w14:paraId="381D53E5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F6A11FA">
      <w:pPr>
        <w:pStyle w:val="188"/>
        <w:numPr>
          <w:ilvl w:val="0"/>
          <w:numId w:val="2"/>
        </w:numPr>
        <w:spacing w:before="240" w:after="0" w:line="240" w:lineRule="auto"/>
        <w:ind w:left="0" w:firstLine="658" w:firstLineChars="253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Основные изменения по источникам финансирования дефицита бюджета</w:t>
      </w:r>
    </w:p>
    <w:p w14:paraId="025076A6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Проектом решения предусмотрено исполнение местного бюджета с дефицитом в сумме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275 714,02 тыс. рублей. В качестве источников внутреннего финансирования дефицита бюджета предусмотрена разница между привлеченными и погашенными кредитами кредитных организаций в валюте Российской Федерации в сумме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>60 000,00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тыс.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 xml:space="preserve">рублей и изменение остатков средств на счетах по учету средств бюджета в сумме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>215 714,02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 xml:space="preserve"> тыс.</w:t>
      </w:r>
      <w:r>
        <w:rPr>
          <w:rFonts w:hint="default" w:ascii="Times New Roman" w:hAnsi="Times New Roman"/>
          <w:bCs/>
          <w:color w:val="000000"/>
          <w:sz w:val="26"/>
          <w:szCs w:val="26"/>
          <w:lang w:val="ru-RU"/>
        </w:rPr>
        <w:t xml:space="preserve"> рублей.</w:t>
      </w:r>
      <w:r>
        <w:rPr>
          <w:rFonts w:ascii="Times New Roman" w:hAnsi="Times New Roman"/>
          <w:sz w:val="26"/>
          <w:szCs w:val="26"/>
        </w:rPr>
        <w:tab/>
      </w:r>
    </w:p>
    <w:p w14:paraId="6974BD8E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Проектом решения о бюджете соблюдены требования и ограничения, установленные Бюджетным кодексом Российской Федерации: </w:t>
      </w:r>
    </w:p>
    <w:p w14:paraId="0108520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п. 5 ст. 179.4 – по объему бюджетных ассигнований дорожного фонда </w:t>
      </w:r>
      <w:r>
        <w:rPr>
          <w:rFonts w:ascii="Times New Roman" w:hAnsi="Times New Roman"/>
          <w:color w:val="000000"/>
          <w:sz w:val="26"/>
          <w:szCs w:val="26"/>
        </w:rPr>
        <w:t>Богородского муниципального округа Нижегородской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</w:p>
    <w:p w14:paraId="29D8A8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п. 3 ст. 184.1 – по общему объему условно утверждаемых расходов, а также бюджетных ассигнований, направляемых на исполнение публичных нормативных обязательств. </w:t>
      </w:r>
    </w:p>
    <w:p w14:paraId="7926F864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п. 3 ст. 92.1 – по размеру дефицита бюджета.</w:t>
      </w:r>
    </w:p>
    <w:p w14:paraId="402AB21A">
      <w:pPr>
        <w:pStyle w:val="19"/>
        <w:spacing w:after="0"/>
        <w:ind w:left="0" w:firstLine="657" w:firstLineChars="253"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Представленный проект решения не противоречит действующему законодательству и рекомендуется к рассмотрению на заседании Совета депутатов Богородского муниципального округа Нижегородской области.</w:t>
      </w:r>
    </w:p>
    <w:p w14:paraId="47F1B12F">
      <w:pPr>
        <w:pStyle w:val="188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E116FA0">
      <w:pPr>
        <w:pStyle w:val="188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4DB8C5F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Председатель контрольно-счетной</w:t>
      </w:r>
    </w:p>
    <w:p w14:paraId="461CB36B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комиссии Богородского муниципального </w:t>
      </w:r>
    </w:p>
    <w:p w14:paraId="4A15C8A7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          Н.В.Гуськова </w:t>
      </w:r>
    </w:p>
    <w:p w14:paraId="0DBF8E1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/>
        <w:rPr>
          <w:rFonts w:ascii="Times New Roman" w:hAnsi="Times New Roman"/>
          <w:sz w:val="26"/>
          <w:szCs w:val="26"/>
        </w:rPr>
      </w:pPr>
      <w:r>
        <w:rPr>
          <w:rFonts w:hint="default" w:ascii="Times New Roman" w:hAnsi="Times New Roman"/>
          <w:color w:val="000000"/>
          <w:sz w:val="24"/>
          <w:lang w:val="ru-RU"/>
        </w:rPr>
        <w:t>21</w:t>
      </w:r>
      <w:bookmarkStart w:id="0" w:name="_GoBack"/>
      <w:bookmarkEnd w:id="0"/>
      <w:r>
        <w:rPr>
          <w:rFonts w:hint="default" w:ascii="Times New Roman" w:hAnsi="Times New Roman"/>
          <w:color w:val="000000"/>
          <w:sz w:val="24"/>
          <w:lang w:val="ru-RU"/>
        </w:rPr>
        <w:t>.04</w:t>
      </w:r>
      <w:r>
        <w:rPr>
          <w:rFonts w:ascii="Times New Roman" w:hAnsi="Times New Roman"/>
          <w:color w:val="000000"/>
          <w:sz w:val="24"/>
        </w:rPr>
        <w:t>.202</w:t>
      </w:r>
      <w:r>
        <w:rPr>
          <w:rFonts w:hint="default" w:ascii="Times New Roman" w:hAnsi="Times New Roman"/>
          <w:color w:val="000000"/>
          <w:sz w:val="24"/>
          <w:lang w:val="ru-RU"/>
        </w:rPr>
        <w:t>6</w:t>
      </w:r>
    </w:p>
    <w:sectPr>
      <w:pgSz w:w="11906" w:h="16838"/>
      <w:pgMar w:top="993" w:right="745" w:bottom="1135" w:left="148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E3AC70"/>
    <w:multiLevelType w:val="singleLevel"/>
    <w:tmpl w:val="D1E3AC70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15AF1B57"/>
    <w:multiLevelType w:val="multilevel"/>
    <w:tmpl w:val="15AF1B5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B02E6"/>
    <w:multiLevelType w:val="multilevel"/>
    <w:tmpl w:val="1D4B02E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none"/>
      <w:lvlText w:val=""/>
      <w:lvlJc w:val="left"/>
      <w:pPr>
        <w:tabs>
          <w:tab w:val="left" w:pos="360"/>
        </w:tabs>
      </w:pPr>
    </w:lvl>
    <w:lvl w:ilvl="2" w:tentative="0">
      <w:start w:val="1"/>
      <w:numFmt w:val="none"/>
      <w:lvlText w:val=""/>
      <w:lvlJc w:val="left"/>
      <w:pPr>
        <w:tabs>
          <w:tab w:val="left" w:pos="360"/>
        </w:tabs>
      </w:pPr>
    </w:lvl>
    <w:lvl w:ilvl="3" w:tentative="0">
      <w:start w:val="1"/>
      <w:numFmt w:val="none"/>
      <w:lvlText w:val=""/>
      <w:lvlJc w:val="left"/>
      <w:pPr>
        <w:tabs>
          <w:tab w:val="left" w:pos="360"/>
        </w:tabs>
      </w:pPr>
    </w:lvl>
    <w:lvl w:ilvl="4" w:tentative="0">
      <w:start w:val="1"/>
      <w:numFmt w:val="none"/>
      <w:lvlText w:val=""/>
      <w:lvlJc w:val="left"/>
      <w:pPr>
        <w:tabs>
          <w:tab w:val="left" w:pos="360"/>
        </w:tabs>
      </w:pPr>
    </w:lvl>
    <w:lvl w:ilvl="5" w:tentative="0">
      <w:start w:val="1"/>
      <w:numFmt w:val="none"/>
      <w:lvlText w:val=""/>
      <w:lvlJc w:val="left"/>
      <w:pPr>
        <w:tabs>
          <w:tab w:val="left" w:pos="360"/>
        </w:tabs>
      </w:pPr>
    </w:lvl>
    <w:lvl w:ilvl="6" w:tentative="0">
      <w:start w:val="1"/>
      <w:numFmt w:val="none"/>
      <w:lvlText w:val=""/>
      <w:lvlJc w:val="left"/>
      <w:pPr>
        <w:tabs>
          <w:tab w:val="left" w:pos="360"/>
        </w:tabs>
      </w:pPr>
    </w:lvl>
    <w:lvl w:ilvl="7" w:tentative="0">
      <w:start w:val="1"/>
      <w:numFmt w:val="none"/>
      <w:lvlText w:val=""/>
      <w:lvlJc w:val="left"/>
      <w:pPr>
        <w:tabs>
          <w:tab w:val="left" w:pos="360"/>
        </w:tabs>
      </w:pPr>
    </w:lvl>
    <w:lvl w:ilvl="8" w:tentative="0">
      <w:start w:val="1"/>
      <w:numFmt w:val="none"/>
      <w:lvlText w:val=""/>
      <w:lvlJc w:val="left"/>
      <w:pPr>
        <w:tabs>
          <w:tab w:val="left" w:pos="360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38"/>
    <w:rsid w:val="0000096D"/>
    <w:rsid w:val="00006AC2"/>
    <w:rsid w:val="000167CE"/>
    <w:rsid w:val="00021463"/>
    <w:rsid w:val="0004438D"/>
    <w:rsid w:val="00072D91"/>
    <w:rsid w:val="000A12F7"/>
    <w:rsid w:val="000A49BB"/>
    <w:rsid w:val="000B0B74"/>
    <w:rsid w:val="000F48F3"/>
    <w:rsid w:val="000F7FF5"/>
    <w:rsid w:val="00103BA2"/>
    <w:rsid w:val="001336DB"/>
    <w:rsid w:val="00142B2E"/>
    <w:rsid w:val="001431CF"/>
    <w:rsid w:val="00167EE0"/>
    <w:rsid w:val="001A1A4D"/>
    <w:rsid w:val="001B3D40"/>
    <w:rsid w:val="001B604B"/>
    <w:rsid w:val="001D0807"/>
    <w:rsid w:val="001E0B4E"/>
    <w:rsid w:val="001F49ED"/>
    <w:rsid w:val="002121AE"/>
    <w:rsid w:val="002371E6"/>
    <w:rsid w:val="00246A2F"/>
    <w:rsid w:val="002536E7"/>
    <w:rsid w:val="0026743D"/>
    <w:rsid w:val="00277333"/>
    <w:rsid w:val="00296286"/>
    <w:rsid w:val="002A33B6"/>
    <w:rsid w:val="002B2B27"/>
    <w:rsid w:val="002D2AD4"/>
    <w:rsid w:val="003039B2"/>
    <w:rsid w:val="00303C35"/>
    <w:rsid w:val="003141AA"/>
    <w:rsid w:val="00330709"/>
    <w:rsid w:val="003330AE"/>
    <w:rsid w:val="00341906"/>
    <w:rsid w:val="00356139"/>
    <w:rsid w:val="00362AE1"/>
    <w:rsid w:val="0039034C"/>
    <w:rsid w:val="00390B02"/>
    <w:rsid w:val="003D3419"/>
    <w:rsid w:val="004034E2"/>
    <w:rsid w:val="004454FA"/>
    <w:rsid w:val="004507E8"/>
    <w:rsid w:val="00450AE9"/>
    <w:rsid w:val="00453038"/>
    <w:rsid w:val="004A759A"/>
    <w:rsid w:val="004E18C6"/>
    <w:rsid w:val="004E716F"/>
    <w:rsid w:val="00502A76"/>
    <w:rsid w:val="00502BBF"/>
    <w:rsid w:val="00505924"/>
    <w:rsid w:val="005212CD"/>
    <w:rsid w:val="00522626"/>
    <w:rsid w:val="00522A16"/>
    <w:rsid w:val="00525441"/>
    <w:rsid w:val="00535A9A"/>
    <w:rsid w:val="005510F5"/>
    <w:rsid w:val="00563FA9"/>
    <w:rsid w:val="00572D62"/>
    <w:rsid w:val="005809EC"/>
    <w:rsid w:val="005973CE"/>
    <w:rsid w:val="005A24F7"/>
    <w:rsid w:val="005B3760"/>
    <w:rsid w:val="005B503A"/>
    <w:rsid w:val="00613BD2"/>
    <w:rsid w:val="006535F9"/>
    <w:rsid w:val="00665CBD"/>
    <w:rsid w:val="006672A0"/>
    <w:rsid w:val="006B2DA7"/>
    <w:rsid w:val="006C06B0"/>
    <w:rsid w:val="006C10F7"/>
    <w:rsid w:val="00710C19"/>
    <w:rsid w:val="007347DE"/>
    <w:rsid w:val="00736113"/>
    <w:rsid w:val="00763AD4"/>
    <w:rsid w:val="00770664"/>
    <w:rsid w:val="00774E16"/>
    <w:rsid w:val="00784A7E"/>
    <w:rsid w:val="007E4536"/>
    <w:rsid w:val="007F414C"/>
    <w:rsid w:val="0080443A"/>
    <w:rsid w:val="00832F51"/>
    <w:rsid w:val="00870D43"/>
    <w:rsid w:val="008A497C"/>
    <w:rsid w:val="008B0FBD"/>
    <w:rsid w:val="008C2A78"/>
    <w:rsid w:val="008C60B6"/>
    <w:rsid w:val="008E210C"/>
    <w:rsid w:val="008E28FA"/>
    <w:rsid w:val="008F034C"/>
    <w:rsid w:val="00905050"/>
    <w:rsid w:val="009179D1"/>
    <w:rsid w:val="00941B00"/>
    <w:rsid w:val="0098078B"/>
    <w:rsid w:val="00984E0E"/>
    <w:rsid w:val="009C0999"/>
    <w:rsid w:val="009C2694"/>
    <w:rsid w:val="009C6F8C"/>
    <w:rsid w:val="009E1460"/>
    <w:rsid w:val="009E16F3"/>
    <w:rsid w:val="00A04D18"/>
    <w:rsid w:val="00A54215"/>
    <w:rsid w:val="00A67B02"/>
    <w:rsid w:val="00A72867"/>
    <w:rsid w:val="00A87A72"/>
    <w:rsid w:val="00AA742D"/>
    <w:rsid w:val="00AB5A40"/>
    <w:rsid w:val="00AC3073"/>
    <w:rsid w:val="00AE3A60"/>
    <w:rsid w:val="00B12A47"/>
    <w:rsid w:val="00B12C5C"/>
    <w:rsid w:val="00B156DF"/>
    <w:rsid w:val="00B232BE"/>
    <w:rsid w:val="00B43A5D"/>
    <w:rsid w:val="00B55F6E"/>
    <w:rsid w:val="00B726DA"/>
    <w:rsid w:val="00B75C44"/>
    <w:rsid w:val="00B82753"/>
    <w:rsid w:val="00B82BAD"/>
    <w:rsid w:val="00BA1D1E"/>
    <w:rsid w:val="00BB2038"/>
    <w:rsid w:val="00BE1AB1"/>
    <w:rsid w:val="00BE2DE6"/>
    <w:rsid w:val="00BE31F9"/>
    <w:rsid w:val="00BF5847"/>
    <w:rsid w:val="00C241DB"/>
    <w:rsid w:val="00C3574E"/>
    <w:rsid w:val="00C5767B"/>
    <w:rsid w:val="00C6666F"/>
    <w:rsid w:val="00C916A5"/>
    <w:rsid w:val="00C91988"/>
    <w:rsid w:val="00C920E5"/>
    <w:rsid w:val="00D207F1"/>
    <w:rsid w:val="00D27083"/>
    <w:rsid w:val="00D3048A"/>
    <w:rsid w:val="00D35B25"/>
    <w:rsid w:val="00D4502C"/>
    <w:rsid w:val="00D758F6"/>
    <w:rsid w:val="00D80ADF"/>
    <w:rsid w:val="00DA65A2"/>
    <w:rsid w:val="00DB062D"/>
    <w:rsid w:val="00DC0280"/>
    <w:rsid w:val="00DC0B5A"/>
    <w:rsid w:val="00DD644F"/>
    <w:rsid w:val="00E03CE8"/>
    <w:rsid w:val="00E27D8C"/>
    <w:rsid w:val="00E351BF"/>
    <w:rsid w:val="00E45863"/>
    <w:rsid w:val="00E661F4"/>
    <w:rsid w:val="00E72892"/>
    <w:rsid w:val="00E86241"/>
    <w:rsid w:val="00EA352B"/>
    <w:rsid w:val="00EC4245"/>
    <w:rsid w:val="00ED5F12"/>
    <w:rsid w:val="00EE07CA"/>
    <w:rsid w:val="00EE5F20"/>
    <w:rsid w:val="00EF0584"/>
    <w:rsid w:val="00F047AB"/>
    <w:rsid w:val="00F302FC"/>
    <w:rsid w:val="00F430EB"/>
    <w:rsid w:val="00F7124C"/>
    <w:rsid w:val="00F85512"/>
    <w:rsid w:val="00F8698C"/>
    <w:rsid w:val="00FA031A"/>
    <w:rsid w:val="00FD1949"/>
    <w:rsid w:val="00FD34F5"/>
    <w:rsid w:val="00FF08C5"/>
    <w:rsid w:val="017C1F56"/>
    <w:rsid w:val="01EB50C9"/>
    <w:rsid w:val="033C59C6"/>
    <w:rsid w:val="03D72572"/>
    <w:rsid w:val="040F5773"/>
    <w:rsid w:val="05773987"/>
    <w:rsid w:val="08506633"/>
    <w:rsid w:val="08C2146E"/>
    <w:rsid w:val="095D5331"/>
    <w:rsid w:val="09D0475C"/>
    <w:rsid w:val="0A57305D"/>
    <w:rsid w:val="0A663F99"/>
    <w:rsid w:val="0E6620EF"/>
    <w:rsid w:val="0E795E8E"/>
    <w:rsid w:val="0F1A6058"/>
    <w:rsid w:val="10AC4A40"/>
    <w:rsid w:val="123F21C2"/>
    <w:rsid w:val="15E55290"/>
    <w:rsid w:val="16387814"/>
    <w:rsid w:val="174A7134"/>
    <w:rsid w:val="174B23F8"/>
    <w:rsid w:val="1A212ADE"/>
    <w:rsid w:val="1B0D380B"/>
    <w:rsid w:val="1BA8257F"/>
    <w:rsid w:val="1D44409F"/>
    <w:rsid w:val="1EC5770B"/>
    <w:rsid w:val="20252C50"/>
    <w:rsid w:val="218D3C49"/>
    <w:rsid w:val="22804282"/>
    <w:rsid w:val="228F7F7C"/>
    <w:rsid w:val="271F52BE"/>
    <w:rsid w:val="278F0DF5"/>
    <w:rsid w:val="29557925"/>
    <w:rsid w:val="29CB32FD"/>
    <w:rsid w:val="2B995F99"/>
    <w:rsid w:val="2BD337CD"/>
    <w:rsid w:val="2C372864"/>
    <w:rsid w:val="2EB83193"/>
    <w:rsid w:val="2EFE0757"/>
    <w:rsid w:val="2F093B3A"/>
    <w:rsid w:val="303059B9"/>
    <w:rsid w:val="32B003EE"/>
    <w:rsid w:val="3647326D"/>
    <w:rsid w:val="36ED1F13"/>
    <w:rsid w:val="3B056CE2"/>
    <w:rsid w:val="3B745E2B"/>
    <w:rsid w:val="3C9F21FA"/>
    <w:rsid w:val="3CEC5B9B"/>
    <w:rsid w:val="3E22754F"/>
    <w:rsid w:val="3E900341"/>
    <w:rsid w:val="3F8B2050"/>
    <w:rsid w:val="40520794"/>
    <w:rsid w:val="413C64BB"/>
    <w:rsid w:val="42016925"/>
    <w:rsid w:val="4386542C"/>
    <w:rsid w:val="441A52C7"/>
    <w:rsid w:val="441D1ACF"/>
    <w:rsid w:val="441D624B"/>
    <w:rsid w:val="492A1A2C"/>
    <w:rsid w:val="4A2C570A"/>
    <w:rsid w:val="4CF22055"/>
    <w:rsid w:val="4CF46CCF"/>
    <w:rsid w:val="4F7A20A8"/>
    <w:rsid w:val="503F49D5"/>
    <w:rsid w:val="50D97F6E"/>
    <w:rsid w:val="520A6B93"/>
    <w:rsid w:val="52D41C73"/>
    <w:rsid w:val="52E40364"/>
    <w:rsid w:val="53E57625"/>
    <w:rsid w:val="545819D6"/>
    <w:rsid w:val="546F7724"/>
    <w:rsid w:val="54890893"/>
    <w:rsid w:val="58AE30E0"/>
    <w:rsid w:val="5B553D2A"/>
    <w:rsid w:val="5DAD533E"/>
    <w:rsid w:val="5DC913EB"/>
    <w:rsid w:val="5E805317"/>
    <w:rsid w:val="5E941AD8"/>
    <w:rsid w:val="60D81969"/>
    <w:rsid w:val="60E5134B"/>
    <w:rsid w:val="629835F8"/>
    <w:rsid w:val="63672527"/>
    <w:rsid w:val="64B7454D"/>
    <w:rsid w:val="67F56F1D"/>
    <w:rsid w:val="69D23A98"/>
    <w:rsid w:val="6AED06A1"/>
    <w:rsid w:val="6DEE6AE4"/>
    <w:rsid w:val="6E2F043D"/>
    <w:rsid w:val="6FA4387E"/>
    <w:rsid w:val="6FCA3275"/>
    <w:rsid w:val="72982AA9"/>
    <w:rsid w:val="743950BE"/>
    <w:rsid w:val="762B7CFF"/>
    <w:rsid w:val="77042FD3"/>
    <w:rsid w:val="7A324B98"/>
    <w:rsid w:val="7C09154E"/>
    <w:rsid w:val="7F9F0507"/>
    <w:rsid w:val="7FB638B2"/>
    <w:rsid w:val="7FFD24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86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8">
    <w:name w:val="footnote text"/>
    <w:basedOn w:val="1"/>
    <w:link w:val="185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able of figures"/>
    <w:basedOn w:val="1"/>
    <w:next w:val="1"/>
    <w:unhideWhenUsed/>
    <w:qFormat/>
    <w:uiPriority w:val="99"/>
    <w:pPr>
      <w:spacing w:after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9">
    <w:name w:val="Body Text Indent"/>
    <w:basedOn w:val="1"/>
    <w:link w:val="189"/>
    <w:qFormat/>
    <w:uiPriority w:val="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0">
    <w:name w:val="Title"/>
    <w:basedOn w:val="1"/>
    <w:next w:val="1"/>
    <w:link w:val="48"/>
    <w:qFormat/>
    <w:uiPriority w:val="10"/>
    <w:pPr>
      <w:spacing w:before="300"/>
      <w:contextualSpacing/>
    </w:pPr>
    <w:rPr>
      <w:sz w:val="48"/>
      <w:szCs w:val="48"/>
    </w:rPr>
  </w:style>
  <w:style w:type="paragraph" w:styleId="21">
    <w:name w:val="Subtitle"/>
    <w:basedOn w:val="1"/>
    <w:next w:val="1"/>
    <w:link w:val="49"/>
    <w:qFormat/>
    <w:uiPriority w:val="11"/>
    <w:pPr>
      <w:spacing w:before="200"/>
    </w:pPr>
    <w:rPr>
      <w:sz w:val="24"/>
      <w:szCs w:val="24"/>
    </w:rPr>
  </w:style>
  <w:style w:type="table" w:styleId="22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Title Char"/>
    <w:basedOn w:val="2"/>
    <w:qFormat/>
    <w:uiPriority w:val="10"/>
    <w:rPr>
      <w:sz w:val="48"/>
      <w:szCs w:val="48"/>
    </w:rPr>
  </w:style>
  <w:style w:type="character" w:customStyle="1" w:styleId="24">
    <w:name w:val="Subtitle Char"/>
    <w:basedOn w:val="2"/>
    <w:qFormat/>
    <w:uiPriority w:val="11"/>
    <w:rPr>
      <w:sz w:val="24"/>
      <w:szCs w:val="24"/>
    </w:rPr>
  </w:style>
  <w:style w:type="character" w:customStyle="1" w:styleId="25">
    <w:name w:val="Quote Char"/>
    <w:qFormat/>
    <w:uiPriority w:val="29"/>
    <w:rPr>
      <w:i/>
    </w:rPr>
  </w:style>
  <w:style w:type="character" w:customStyle="1" w:styleId="26">
    <w:name w:val="Intense Quote Char"/>
    <w:qFormat/>
    <w:uiPriority w:val="30"/>
    <w:rPr>
      <w:i/>
    </w:rPr>
  </w:style>
  <w:style w:type="character" w:customStyle="1" w:styleId="27">
    <w:name w:val="Footnote Text Char"/>
    <w:qFormat/>
    <w:uiPriority w:val="99"/>
    <w:rPr>
      <w:sz w:val="18"/>
    </w:rPr>
  </w:style>
  <w:style w:type="character" w:customStyle="1" w:styleId="28">
    <w:name w:val="Endnote Text Char"/>
    <w:qFormat/>
    <w:uiPriority w:val="99"/>
    <w:rPr>
      <w:sz w:val="20"/>
    </w:rPr>
  </w:style>
  <w:style w:type="paragraph" w:customStyle="1" w:styleId="29">
    <w:name w:val="Heading 1"/>
    <w:basedOn w:val="1"/>
    <w:next w:val="1"/>
    <w:link w:val="30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customStyle="1" w:styleId="30">
    <w:name w:val="Heading 1 Char"/>
    <w:basedOn w:val="2"/>
    <w:link w:val="29"/>
    <w:qFormat/>
    <w:uiPriority w:val="9"/>
    <w:rPr>
      <w:rFonts w:ascii="Arial" w:hAnsi="Arial" w:eastAsia="Arial" w:cs="Arial"/>
      <w:sz w:val="40"/>
      <w:szCs w:val="40"/>
    </w:rPr>
  </w:style>
  <w:style w:type="paragraph" w:customStyle="1" w:styleId="31">
    <w:name w:val="Heading 2"/>
    <w:basedOn w:val="1"/>
    <w:next w:val="1"/>
    <w:link w:val="32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character" w:customStyle="1" w:styleId="32">
    <w:name w:val="Heading 2 Char"/>
    <w:basedOn w:val="2"/>
    <w:link w:val="31"/>
    <w:qFormat/>
    <w:uiPriority w:val="9"/>
    <w:rPr>
      <w:rFonts w:ascii="Arial" w:hAnsi="Arial" w:eastAsia="Arial" w:cs="Arial"/>
      <w:sz w:val="34"/>
    </w:rPr>
  </w:style>
  <w:style w:type="paragraph" w:customStyle="1" w:styleId="33">
    <w:name w:val="Heading 3"/>
    <w:basedOn w:val="1"/>
    <w:next w:val="1"/>
    <w:link w:val="34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customStyle="1" w:styleId="34">
    <w:name w:val="Heading 3 Char"/>
    <w:basedOn w:val="2"/>
    <w:link w:val="33"/>
    <w:qFormat/>
    <w:uiPriority w:val="9"/>
    <w:rPr>
      <w:rFonts w:ascii="Arial" w:hAnsi="Arial" w:eastAsia="Arial" w:cs="Arial"/>
      <w:sz w:val="30"/>
      <w:szCs w:val="30"/>
    </w:rPr>
  </w:style>
  <w:style w:type="paragraph" w:customStyle="1" w:styleId="35">
    <w:name w:val="Heading 4"/>
    <w:basedOn w:val="1"/>
    <w:next w:val="1"/>
    <w:link w:val="36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customStyle="1" w:styleId="36">
    <w:name w:val="Heading 4 Char"/>
    <w:basedOn w:val="2"/>
    <w:link w:val="35"/>
    <w:qFormat/>
    <w:uiPriority w:val="9"/>
    <w:rPr>
      <w:rFonts w:ascii="Arial" w:hAnsi="Arial" w:eastAsia="Arial" w:cs="Arial"/>
      <w:b/>
      <w:bCs/>
      <w:sz w:val="26"/>
      <w:szCs w:val="26"/>
    </w:rPr>
  </w:style>
  <w:style w:type="paragraph" w:customStyle="1" w:styleId="37">
    <w:name w:val="Heading 5"/>
    <w:basedOn w:val="1"/>
    <w:next w:val="1"/>
    <w:link w:val="38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customStyle="1" w:styleId="38">
    <w:name w:val="Heading 5 Char"/>
    <w:basedOn w:val="2"/>
    <w:link w:val="37"/>
    <w:qFormat/>
    <w:uiPriority w:val="9"/>
    <w:rPr>
      <w:rFonts w:ascii="Arial" w:hAnsi="Arial" w:eastAsia="Arial" w:cs="Arial"/>
      <w:b/>
      <w:bCs/>
      <w:sz w:val="24"/>
      <w:szCs w:val="24"/>
    </w:rPr>
  </w:style>
  <w:style w:type="paragraph" w:customStyle="1" w:styleId="39">
    <w:name w:val="Heading 6"/>
    <w:basedOn w:val="1"/>
    <w:next w:val="1"/>
    <w:link w:val="40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character" w:customStyle="1" w:styleId="40">
    <w:name w:val="Heading 6 Char"/>
    <w:basedOn w:val="2"/>
    <w:link w:val="39"/>
    <w:qFormat/>
    <w:uiPriority w:val="9"/>
    <w:rPr>
      <w:rFonts w:ascii="Arial" w:hAnsi="Arial" w:eastAsia="Arial" w:cs="Arial"/>
      <w:b/>
      <w:bCs/>
      <w:sz w:val="22"/>
      <w:szCs w:val="22"/>
    </w:rPr>
  </w:style>
  <w:style w:type="paragraph" w:customStyle="1" w:styleId="41">
    <w:name w:val="Heading 7"/>
    <w:basedOn w:val="1"/>
    <w:next w:val="1"/>
    <w:link w:val="42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customStyle="1" w:styleId="42">
    <w:name w:val="Heading 7 Char"/>
    <w:basedOn w:val="2"/>
    <w:link w:val="4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3">
    <w:name w:val="Heading 8"/>
    <w:basedOn w:val="1"/>
    <w:next w:val="1"/>
    <w:link w:val="44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character" w:customStyle="1" w:styleId="44">
    <w:name w:val="Heading 8 Char"/>
    <w:basedOn w:val="2"/>
    <w:link w:val="43"/>
    <w:qFormat/>
    <w:uiPriority w:val="9"/>
    <w:rPr>
      <w:rFonts w:ascii="Arial" w:hAnsi="Arial" w:eastAsia="Arial" w:cs="Arial"/>
      <w:i/>
      <w:iCs/>
      <w:sz w:val="22"/>
      <w:szCs w:val="22"/>
    </w:rPr>
  </w:style>
  <w:style w:type="paragraph" w:customStyle="1" w:styleId="45">
    <w:name w:val="Heading 9"/>
    <w:basedOn w:val="1"/>
    <w:next w:val="1"/>
    <w:link w:val="46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6">
    <w:name w:val="Heading 9 Char"/>
    <w:basedOn w:val="2"/>
    <w:link w:val="45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No Spacing"/>
    <w:qFormat/>
    <w:uiPriority w:val="1"/>
    <w:rPr>
      <w:rFonts w:ascii="Times New Roman" w:hAnsi="Times New Roman" w:eastAsia="SimSun" w:cs="Times New Roman"/>
      <w:lang w:val="ru-RU" w:eastAsia="ru-RU" w:bidi="ar-SA"/>
    </w:rPr>
  </w:style>
  <w:style w:type="character" w:customStyle="1" w:styleId="48">
    <w:name w:val="Название Знак"/>
    <w:basedOn w:val="2"/>
    <w:link w:val="20"/>
    <w:qFormat/>
    <w:uiPriority w:val="10"/>
    <w:rPr>
      <w:sz w:val="48"/>
      <w:szCs w:val="48"/>
    </w:rPr>
  </w:style>
  <w:style w:type="character" w:customStyle="1" w:styleId="49">
    <w:name w:val="Подзаголовок Знак"/>
    <w:basedOn w:val="2"/>
    <w:link w:val="21"/>
    <w:qFormat/>
    <w:uiPriority w:val="11"/>
    <w:rPr>
      <w:sz w:val="24"/>
      <w:szCs w:val="24"/>
    </w:rPr>
  </w:style>
  <w:style w:type="paragraph" w:styleId="50">
    <w:name w:val="Quote"/>
    <w:basedOn w:val="1"/>
    <w:next w:val="1"/>
    <w:link w:val="51"/>
    <w:qFormat/>
    <w:uiPriority w:val="29"/>
    <w:pPr>
      <w:ind w:left="720" w:right="720"/>
    </w:pPr>
    <w:rPr>
      <w:i/>
    </w:rPr>
  </w:style>
  <w:style w:type="character" w:customStyle="1" w:styleId="51">
    <w:name w:val="Цитата 2 Знак"/>
    <w:link w:val="50"/>
    <w:qFormat/>
    <w:uiPriority w:val="29"/>
    <w:rPr>
      <w:i/>
    </w:rPr>
  </w:style>
  <w:style w:type="paragraph" w:styleId="52">
    <w:name w:val="Intense Quote"/>
    <w:basedOn w:val="1"/>
    <w:next w:val="1"/>
    <w:link w:val="5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3">
    <w:name w:val="Выделенная цитата Знак"/>
    <w:link w:val="52"/>
    <w:qFormat/>
    <w:uiPriority w:val="30"/>
    <w:rPr>
      <w:i/>
    </w:rPr>
  </w:style>
  <w:style w:type="character" w:customStyle="1" w:styleId="54">
    <w:name w:val="Header Char"/>
    <w:basedOn w:val="2"/>
    <w:link w:val="55"/>
    <w:qFormat/>
    <w:uiPriority w:val="99"/>
  </w:style>
  <w:style w:type="paragraph" w:customStyle="1" w:styleId="55">
    <w:name w:val="Header"/>
    <w:basedOn w:val="1"/>
    <w:link w:val="54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customStyle="1" w:styleId="56">
    <w:name w:val="Footer Char"/>
    <w:basedOn w:val="2"/>
    <w:qFormat/>
    <w:uiPriority w:val="99"/>
  </w:style>
  <w:style w:type="paragraph" w:customStyle="1" w:styleId="57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58">
    <w:name w:val="Caption Char"/>
    <w:link w:val="59"/>
    <w:qFormat/>
    <w:uiPriority w:val="99"/>
  </w:style>
  <w:style w:type="paragraph" w:customStyle="1" w:styleId="59">
    <w:name w:val="Footer"/>
    <w:basedOn w:val="1"/>
    <w:link w:val="58"/>
    <w:semiHidden/>
    <w:unhideWhenUsed/>
    <w:qFormat/>
    <w:uiPriority w:val="99"/>
    <w:pPr>
      <w:tabs>
        <w:tab w:val="center" w:pos="4153"/>
        <w:tab w:val="right" w:pos="8306"/>
      </w:tabs>
    </w:pPr>
  </w:style>
  <w:style w:type="table" w:customStyle="1" w:styleId="6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Plain Table 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tcPr>
        <w:shd w:val="clear" w:color="FFFFFF" w:themeColor="text1" w:themeTint="00" w:fill="FFFFFF" w:themeFill="text1" w:themeFillTint="00"/>
      </w:tcPr>
    </w:tblStylePr>
  </w:style>
  <w:style w:type="table" w:customStyle="1" w:styleId="62">
    <w:name w:val="Plain Table 2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3">
    <w:name w:val="Plain Table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4">
    <w:name w:val="Plain Table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5">
    <w:name w:val="Plain Table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6">
    <w:name w:val="Grid Table 1 Light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7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7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3">
    <w:name w:val="Grid Table 2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0">
    <w:name w:val="Grid Table 3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7">
    <w:name w:val="Grid Table 4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9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4">
    <w:name w:val="Grid Table 5 Dark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10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01">
    <w:name w:val="Grid Table 6 Colorful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1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5">
    <w:name w:val="List Table 1 Light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7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8">
    <w:name w:val="List Table 1 Light - Accent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9">
    <w:name w:val="List Table 1 Light - Accent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20">
    <w:name w:val="List Table 1 Light - Accent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21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2">
    <w:name w:val="List Table 2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9">
    <w:name w:val="List Table 3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3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6">
    <w:name w:val="List Table 4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4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4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3">
    <w:name w:val="List Table 5 Dark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50">
    <w:name w:val="List Table 6 Colorful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"/>
    <w:basedOn w:val="3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ned - Accent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65">
    <w:name w:val="Lined - Accent 1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6">
    <w:name w:val="Lined - Accent 2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7">
    <w:name w:val="Lined - Accent 3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8">
    <w:name w:val="Lined - Accent 4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9">
    <w:name w:val="Lined - Accent 5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0">
    <w:name w:val="Lined - Accent 6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1">
    <w:name w:val="Bordered &amp; Lined - Accent"/>
    <w:basedOn w:val="3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72">
    <w:name w:val="Bordered &amp; Lined - Accent 1"/>
    <w:basedOn w:val="3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3">
    <w:name w:val="Bordered &amp; Lined - Accent 2"/>
    <w:basedOn w:val="3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4">
    <w:name w:val="Bordered &amp; Lined - Accent 3"/>
    <w:basedOn w:val="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5">
    <w:name w:val="Bordered &amp; Lined - Accent 4"/>
    <w:basedOn w:val="3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6">
    <w:name w:val="Bordered &amp; Lined - Accent 5"/>
    <w:basedOn w:val="3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7">
    <w:name w:val="Bordered &amp; Lined - Accent 6"/>
    <w:basedOn w:val="3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8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8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5">
    <w:name w:val="Текст сноски Знак"/>
    <w:link w:val="8"/>
    <w:qFormat/>
    <w:uiPriority w:val="99"/>
    <w:rPr>
      <w:sz w:val="18"/>
    </w:rPr>
  </w:style>
  <w:style w:type="character" w:customStyle="1" w:styleId="186">
    <w:name w:val="Текст концевой сноски Знак"/>
    <w:link w:val="7"/>
    <w:qFormat/>
    <w:uiPriority w:val="99"/>
    <w:rPr>
      <w:sz w:val="20"/>
    </w:rPr>
  </w:style>
  <w:style w:type="paragraph" w:customStyle="1" w:styleId="187">
    <w:name w:val="Заголовок оглавления1"/>
    <w:unhideWhenUsed/>
    <w:qFormat/>
    <w:uiPriority w:val="39"/>
    <w:rPr>
      <w:rFonts w:ascii="Times New Roman" w:hAnsi="Times New Roman" w:eastAsia="SimSun" w:cs="Times New Roman"/>
      <w:lang w:val="ru-RU" w:eastAsia="ru-RU" w:bidi="ar-SA"/>
    </w:rPr>
  </w:style>
  <w:style w:type="paragraph" w:styleId="188">
    <w:name w:val="List Paragraph"/>
    <w:basedOn w:val="1"/>
    <w:qFormat/>
    <w:uiPriority w:val="34"/>
    <w:pPr>
      <w:ind w:left="720"/>
      <w:contextualSpacing/>
    </w:pPr>
  </w:style>
  <w:style w:type="character" w:customStyle="1" w:styleId="189">
    <w:name w:val="Основной текст с отступом Знак"/>
    <w:basedOn w:val="2"/>
    <w:link w:val="19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90">
    <w:name w:val="font11"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DE03-8A44-4E99-BC28-AE729EA56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5</Pages>
  <Words>1536</Words>
  <Characters>8756</Characters>
  <Lines>72</Lines>
  <Paragraphs>20</Paragraphs>
  <TotalTime>56</TotalTime>
  <ScaleCrop>false</ScaleCrop>
  <LinksUpToDate>false</LinksUpToDate>
  <CharactersWithSpaces>10272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2025-12-29T13:03:00Z</dcterms:created>
  <dc:creator>RePack by Diakov</dc:creator>
  <cp:lastModifiedBy>Guskova</cp:lastModifiedBy>
  <cp:lastPrinted>2026-04-28T13:14:45Z</cp:lastPrinted>
  <dcterms:modified xsi:type="dcterms:W3CDTF">2026-04-28T14:12:58Z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CED058B4F10A4D7FB218B5A69639857E_13</vt:lpwstr>
  </property>
</Properties>
</file>